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B12F" w14:textId="77777777" w:rsidR="0095278E" w:rsidRDefault="0095278E" w:rsidP="0095278E">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NEW PYRAMEX</w:t>
      </w:r>
      <w:r w:rsidRPr="003E3EC2">
        <w:rPr>
          <w:rFonts w:ascii="Helvetica" w:hAnsi="Helvetica"/>
          <w:b/>
          <w:bCs/>
          <w:caps/>
          <w:sz w:val="22"/>
          <w:szCs w:val="22"/>
          <w:vertAlign w:val="superscript"/>
        </w:rPr>
        <w:t>®</w:t>
      </w:r>
      <w:r>
        <w:rPr>
          <w:rFonts w:ascii="Helvetica" w:hAnsi="Helvetica"/>
          <w:b/>
          <w:bCs/>
          <w:caps/>
          <w:sz w:val="22"/>
          <w:szCs w:val="22"/>
          <w:vertAlign w:val="superscript"/>
        </w:rPr>
        <w:t xml:space="preserve"> </w:t>
      </w:r>
      <w:r>
        <w:rPr>
          <w:rFonts w:ascii="Helvetica" w:hAnsi="Helvetica"/>
          <w:b/>
          <w:bCs/>
          <w:caps/>
          <w:sz w:val="22"/>
          <w:szCs w:val="22"/>
        </w:rPr>
        <w:t>ATREX</w:t>
      </w:r>
      <w:r w:rsidRPr="00864574">
        <w:rPr>
          <w:rFonts w:ascii="Helvetica" w:hAnsi="Helvetica"/>
          <w:b/>
          <w:bCs/>
          <w:caps/>
          <w:sz w:val="22"/>
          <w:szCs w:val="22"/>
          <w:vertAlign w:val="superscript"/>
        </w:rPr>
        <w:t>TM</w:t>
      </w:r>
      <w:r>
        <w:rPr>
          <w:rFonts w:ascii="Helvetica" w:hAnsi="Helvetica"/>
          <w:b/>
          <w:bCs/>
          <w:caps/>
          <w:sz w:val="22"/>
          <w:szCs w:val="22"/>
        </w:rPr>
        <w:t xml:space="preserve"> EYEWEAR PROTECTS LIKE A GOGGLE </w:t>
      </w:r>
    </w:p>
    <w:p w14:paraId="73091177" w14:textId="77777777" w:rsidR="0095278E" w:rsidRDefault="0095278E" w:rsidP="0095278E">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WITH THE LOOK OF STYLISH SUNGLASSES</w:t>
      </w:r>
    </w:p>
    <w:p w14:paraId="3DF007AE" w14:textId="77777777" w:rsidR="0095278E" w:rsidRPr="00526DFF" w:rsidRDefault="0095278E" w:rsidP="0095278E">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344683FD" w14:textId="77777777" w:rsidR="00D51BAF" w:rsidRDefault="0095278E" w:rsidP="0095278E">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Highly Durable and High-Impact Tested; Trust Nothing but the Best </w:t>
      </w:r>
      <w:r w:rsidR="00D51BAF">
        <w:rPr>
          <w:rFonts w:ascii="Helvetica" w:hAnsi="Helvetica"/>
          <w:b/>
          <w:bCs/>
          <w:sz w:val="22"/>
          <w:szCs w:val="22"/>
        </w:rPr>
        <w:t>for</w:t>
      </w:r>
      <w:r>
        <w:rPr>
          <w:rFonts w:ascii="Helvetica" w:hAnsi="Helvetica"/>
          <w:b/>
          <w:bCs/>
          <w:sz w:val="22"/>
          <w:szCs w:val="22"/>
        </w:rPr>
        <w:t xml:space="preserve"> Your Eyes </w:t>
      </w:r>
    </w:p>
    <w:p w14:paraId="3C636505" w14:textId="7EE50D92" w:rsidR="0095278E" w:rsidRDefault="0095278E" w:rsidP="0095278E">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When on The Job </w:t>
      </w:r>
    </w:p>
    <w:p w14:paraId="4C273D3E" w14:textId="3DFABA87" w:rsidR="0095278E" w:rsidRPr="00526DFF" w:rsidRDefault="0095278E" w:rsidP="0095278E">
      <w:pPr>
        <w:pStyle w:val="BalloonText"/>
        <w:tabs>
          <w:tab w:val="left" w:pos="933"/>
          <w:tab w:val="left" w:pos="1507"/>
          <w:tab w:val="left" w:pos="1733"/>
        </w:tabs>
        <w:spacing w:line="260" w:lineRule="atLeast"/>
        <w:ind w:left="-540"/>
        <w:jc w:val="center"/>
        <w:rPr>
          <w:rFonts w:ascii="Helvetica" w:hAnsi="Helvetica"/>
          <w:b/>
          <w:bCs/>
          <w:sz w:val="22"/>
          <w:szCs w:val="22"/>
        </w:rPr>
      </w:pPr>
    </w:p>
    <w:p w14:paraId="186557DB" w14:textId="2B2BCBDF" w:rsidR="0095278E" w:rsidRPr="0095278E" w:rsidRDefault="0095278E" w:rsidP="0095278E">
      <w:pPr>
        <w:pStyle w:val="BalloonText"/>
        <w:tabs>
          <w:tab w:val="left" w:pos="933"/>
          <w:tab w:val="left" w:pos="1507"/>
          <w:tab w:val="left" w:pos="1733"/>
        </w:tabs>
        <w:ind w:left="-547"/>
        <w:rPr>
          <w:rFonts w:ascii="Helvetica" w:hAnsi="Helvetica"/>
          <w:sz w:val="20"/>
          <w:szCs w:val="20"/>
        </w:rPr>
      </w:pPr>
      <w:r w:rsidRPr="0095278E">
        <w:rPr>
          <w:rFonts w:ascii="Helvetica" w:hAnsi="Helvetica"/>
          <w:sz w:val="20"/>
          <w:szCs w:val="20"/>
        </w:rPr>
        <w:t xml:space="preserve">Safety trumps all when onsite.  But who says you can’t have style too?  Check out the new </w:t>
      </w:r>
      <w:proofErr w:type="spellStart"/>
      <w:r w:rsidRPr="0095278E">
        <w:rPr>
          <w:rFonts w:ascii="Helvetica" w:hAnsi="Helvetica"/>
          <w:sz w:val="20"/>
          <w:szCs w:val="20"/>
        </w:rPr>
        <w:t>Pyramex</w:t>
      </w:r>
      <w:proofErr w:type="spellEnd"/>
      <w:r w:rsidRPr="0095278E">
        <w:rPr>
          <w:rFonts w:ascii="Helvetica" w:hAnsi="Helvetica"/>
          <w:sz w:val="20"/>
          <w:szCs w:val="20"/>
          <w:vertAlign w:val="superscript"/>
        </w:rPr>
        <w:t>®</w:t>
      </w:r>
      <w:r w:rsidRPr="0095278E">
        <w:rPr>
          <w:rFonts w:ascii="Helvetica" w:hAnsi="Helvetica"/>
          <w:sz w:val="20"/>
          <w:szCs w:val="20"/>
        </w:rPr>
        <w:t xml:space="preserve"> </w:t>
      </w:r>
      <w:proofErr w:type="spellStart"/>
      <w:r w:rsidRPr="0095278E">
        <w:rPr>
          <w:rFonts w:ascii="Helvetica" w:hAnsi="Helvetica"/>
          <w:sz w:val="20"/>
          <w:szCs w:val="20"/>
        </w:rPr>
        <w:t>Atrex</w:t>
      </w:r>
      <w:r w:rsidRPr="0095278E">
        <w:rPr>
          <w:rFonts w:ascii="Helvetica" w:hAnsi="Helvetica"/>
          <w:sz w:val="20"/>
          <w:szCs w:val="20"/>
          <w:vertAlign w:val="superscript"/>
        </w:rPr>
        <w:t>TM</w:t>
      </w:r>
      <w:proofErr w:type="spellEnd"/>
      <w:r w:rsidRPr="0095278E">
        <w:rPr>
          <w:rFonts w:ascii="Helvetica" w:hAnsi="Helvetica"/>
          <w:sz w:val="20"/>
          <w:szCs w:val="20"/>
        </w:rPr>
        <w:t xml:space="preserve"> eyewear which look like </w:t>
      </w:r>
      <w:r w:rsidR="00D51BAF" w:rsidRPr="0095278E">
        <w:rPr>
          <w:rFonts w:ascii="Helvetica" w:hAnsi="Helvetica"/>
          <w:sz w:val="20"/>
          <w:szCs w:val="20"/>
        </w:rPr>
        <w:t>sunglasses but</w:t>
      </w:r>
      <w:r w:rsidRPr="0095278E">
        <w:rPr>
          <w:rFonts w:ascii="Helvetica" w:hAnsi="Helvetica"/>
          <w:sz w:val="20"/>
          <w:szCs w:val="20"/>
        </w:rPr>
        <w:t xml:space="preserve"> offer all the protection</w:t>
      </w:r>
      <w:r w:rsidR="00D51BAF">
        <w:rPr>
          <w:rFonts w:ascii="Helvetica" w:hAnsi="Helvetica"/>
          <w:sz w:val="20"/>
          <w:szCs w:val="20"/>
        </w:rPr>
        <w:t xml:space="preserve"> against the elements</w:t>
      </w:r>
      <w:r w:rsidRPr="0095278E">
        <w:rPr>
          <w:rFonts w:ascii="Helvetica" w:hAnsi="Helvetica"/>
          <w:sz w:val="20"/>
          <w:szCs w:val="20"/>
        </w:rPr>
        <w:t xml:space="preserve"> of a goggle. With multiple frame styles and </w:t>
      </w:r>
      <w:r w:rsidR="00D51BAF">
        <w:rPr>
          <w:rFonts w:ascii="Helvetica" w:hAnsi="Helvetica"/>
          <w:sz w:val="20"/>
          <w:szCs w:val="20"/>
        </w:rPr>
        <w:t>lens</w:t>
      </w:r>
      <w:r w:rsidRPr="0095278E">
        <w:rPr>
          <w:rFonts w:ascii="Helvetica" w:hAnsi="Helvetica"/>
          <w:sz w:val="20"/>
          <w:szCs w:val="20"/>
        </w:rPr>
        <w:t xml:space="preserve"> options, choose something that fits both your safety and style needs.</w:t>
      </w:r>
    </w:p>
    <w:p w14:paraId="02E8285B" w14:textId="4035F5CB" w:rsidR="0095278E" w:rsidRPr="0095278E" w:rsidRDefault="0095278E" w:rsidP="0095278E">
      <w:pPr>
        <w:pStyle w:val="BalloonText"/>
        <w:tabs>
          <w:tab w:val="left" w:pos="933"/>
          <w:tab w:val="left" w:pos="1507"/>
          <w:tab w:val="left" w:pos="1733"/>
        </w:tabs>
        <w:ind w:left="-547"/>
        <w:rPr>
          <w:rFonts w:ascii="Helvetica" w:hAnsi="Helvetica"/>
          <w:sz w:val="20"/>
          <w:szCs w:val="20"/>
        </w:rPr>
      </w:pPr>
    </w:p>
    <w:p w14:paraId="1F60DC97" w14:textId="56D2AC80" w:rsidR="0095278E" w:rsidRPr="0095278E" w:rsidRDefault="0095278E" w:rsidP="0095278E">
      <w:pPr>
        <w:pStyle w:val="BalloonText"/>
        <w:tabs>
          <w:tab w:val="left" w:pos="933"/>
          <w:tab w:val="left" w:pos="1507"/>
          <w:tab w:val="left" w:pos="1733"/>
        </w:tabs>
        <w:ind w:left="-547"/>
        <w:rPr>
          <w:rFonts w:ascii="Helvetica" w:hAnsi="Helvetica"/>
          <w:sz w:val="20"/>
          <w:szCs w:val="20"/>
        </w:rPr>
      </w:pPr>
      <w:r w:rsidRPr="0095278E">
        <w:rPr>
          <w:rFonts w:ascii="Helvetica" w:hAnsi="Helvetica"/>
          <w:sz w:val="20"/>
          <w:szCs w:val="20"/>
        </w:rPr>
        <w:t xml:space="preserve">The </w:t>
      </w:r>
      <w:proofErr w:type="spellStart"/>
      <w:r w:rsidRPr="0095278E">
        <w:rPr>
          <w:rFonts w:ascii="Helvetica" w:hAnsi="Helvetica"/>
          <w:sz w:val="20"/>
          <w:szCs w:val="20"/>
        </w:rPr>
        <w:t>Atrex</w:t>
      </w:r>
      <w:proofErr w:type="spellEnd"/>
      <w:r w:rsidRPr="0095278E">
        <w:rPr>
          <w:rFonts w:ascii="Helvetica" w:hAnsi="Helvetica"/>
          <w:sz w:val="20"/>
          <w:szCs w:val="20"/>
        </w:rPr>
        <w:t xml:space="preserve"> glasses feature </w:t>
      </w:r>
      <w:r w:rsidR="00D51BAF">
        <w:rPr>
          <w:rFonts w:ascii="Helvetica" w:hAnsi="Helvetica"/>
          <w:sz w:val="20"/>
          <w:szCs w:val="20"/>
        </w:rPr>
        <w:t xml:space="preserve">soft </w:t>
      </w:r>
      <w:r w:rsidRPr="0095278E">
        <w:rPr>
          <w:rFonts w:ascii="Helvetica" w:hAnsi="Helvetica"/>
          <w:sz w:val="20"/>
          <w:szCs w:val="20"/>
        </w:rPr>
        <w:t xml:space="preserve">foam padding that works to keep out </w:t>
      </w:r>
      <w:r w:rsidR="00D51BAF">
        <w:rPr>
          <w:rFonts w:ascii="Helvetica" w:hAnsi="Helvetica"/>
          <w:sz w:val="20"/>
          <w:szCs w:val="20"/>
        </w:rPr>
        <w:t xml:space="preserve">airborne debris and wind </w:t>
      </w:r>
      <w:r w:rsidRPr="0095278E">
        <w:rPr>
          <w:rFonts w:ascii="Helvetica" w:hAnsi="Helvetica"/>
          <w:sz w:val="20"/>
          <w:szCs w:val="20"/>
        </w:rPr>
        <w:t xml:space="preserve">– like a goggle. </w:t>
      </w:r>
      <w:r w:rsidR="00D51BAF">
        <w:rPr>
          <w:rFonts w:ascii="Helvetica" w:hAnsi="Helvetica"/>
          <w:sz w:val="20"/>
          <w:szCs w:val="20"/>
        </w:rPr>
        <w:t>This</w:t>
      </w:r>
      <w:r w:rsidR="004A068D">
        <w:rPr>
          <w:rFonts w:ascii="Helvetica" w:hAnsi="Helvetica"/>
          <w:sz w:val="20"/>
          <w:szCs w:val="20"/>
        </w:rPr>
        <w:t xml:space="preserve"> </w:t>
      </w:r>
      <w:r w:rsidR="00D51BAF">
        <w:rPr>
          <w:rFonts w:ascii="Helvetica" w:hAnsi="Helvetica"/>
          <w:sz w:val="20"/>
          <w:szCs w:val="20"/>
        </w:rPr>
        <w:t xml:space="preserve">unique </w:t>
      </w:r>
      <w:r w:rsidR="004A068D">
        <w:rPr>
          <w:rFonts w:ascii="Helvetica" w:hAnsi="Helvetica"/>
          <w:sz w:val="20"/>
          <w:szCs w:val="20"/>
        </w:rPr>
        <w:t xml:space="preserve">foam padding </w:t>
      </w:r>
      <w:r w:rsidR="00D51BAF" w:rsidRPr="004A068D">
        <w:rPr>
          <w:rFonts w:ascii="Helvetica" w:hAnsi="Helvetica"/>
          <w:sz w:val="20"/>
          <w:szCs w:val="20"/>
        </w:rPr>
        <w:t>provid</w:t>
      </w:r>
      <w:r w:rsidR="00D51BAF">
        <w:rPr>
          <w:rFonts w:ascii="Helvetica" w:hAnsi="Helvetica"/>
          <w:sz w:val="20"/>
          <w:szCs w:val="20"/>
        </w:rPr>
        <w:t>es</w:t>
      </w:r>
      <w:r w:rsidR="00D51BAF" w:rsidRPr="004A068D">
        <w:rPr>
          <w:rFonts w:ascii="Helvetica" w:hAnsi="Helvetica"/>
          <w:sz w:val="20"/>
          <w:szCs w:val="20"/>
        </w:rPr>
        <w:t xml:space="preserve"> protection against even the finest particles or eye-drying winds </w:t>
      </w:r>
      <w:r w:rsidR="004A068D" w:rsidRPr="004A068D">
        <w:rPr>
          <w:rFonts w:ascii="Helvetica" w:hAnsi="Helvetica"/>
          <w:sz w:val="20"/>
          <w:szCs w:val="20"/>
        </w:rPr>
        <w:t xml:space="preserve">and creates a comfortable environment for the wearer’s eyes. </w:t>
      </w:r>
      <w:r w:rsidR="004A068D">
        <w:rPr>
          <w:rFonts w:ascii="Helvetica" w:hAnsi="Helvetica"/>
          <w:sz w:val="20"/>
          <w:szCs w:val="20"/>
        </w:rPr>
        <w:t xml:space="preserve"> </w:t>
      </w:r>
      <w:r w:rsidR="00D51BAF">
        <w:rPr>
          <w:rFonts w:ascii="Helvetica" w:hAnsi="Helvetica"/>
          <w:sz w:val="20"/>
          <w:szCs w:val="20"/>
        </w:rPr>
        <w:t>It also</w:t>
      </w:r>
      <w:r w:rsidR="00D51BAF" w:rsidRPr="00D51BAF">
        <w:rPr>
          <w:rFonts w:ascii="Helvetica" w:hAnsi="Helvetica"/>
          <w:sz w:val="20"/>
          <w:szCs w:val="20"/>
        </w:rPr>
        <w:t xml:space="preserve"> prevents peripheral light intrusion, for superior optical clarity in all conditions</w:t>
      </w:r>
      <w:r w:rsidR="00D51BAF">
        <w:rPr>
          <w:rFonts w:ascii="Helvetica" w:hAnsi="Helvetica"/>
          <w:sz w:val="20"/>
          <w:szCs w:val="20"/>
        </w:rPr>
        <w:t>.</w:t>
      </w:r>
      <w:r w:rsidR="00D51BAF" w:rsidRPr="00D51BAF">
        <w:rPr>
          <w:rFonts w:ascii="Helvetica" w:hAnsi="Helvetica"/>
          <w:sz w:val="20"/>
          <w:szCs w:val="20"/>
        </w:rPr>
        <w:t xml:space="preserve"> </w:t>
      </w:r>
      <w:r w:rsidRPr="0095278E">
        <w:rPr>
          <w:rFonts w:ascii="Helvetica" w:hAnsi="Helvetica"/>
          <w:sz w:val="20"/>
          <w:szCs w:val="20"/>
        </w:rPr>
        <w:t xml:space="preserve">Ultra-lightweight, the frames are constructed of hard-wearing polycarbonate.  The nosepiece is made from thermoplastic rubbers (TPR) and the temples co-injected with polycarbonate and thermoplastic elastomer foam for a comfortable fit.  </w:t>
      </w:r>
    </w:p>
    <w:p w14:paraId="61FB42CE" w14:textId="0FAA79B3" w:rsidR="0095278E" w:rsidRPr="0095278E" w:rsidRDefault="0095278E" w:rsidP="0095278E">
      <w:pPr>
        <w:pStyle w:val="BalloonText"/>
        <w:tabs>
          <w:tab w:val="left" w:pos="933"/>
          <w:tab w:val="left" w:pos="1507"/>
          <w:tab w:val="left" w:pos="1733"/>
        </w:tabs>
        <w:ind w:left="-547"/>
        <w:rPr>
          <w:rFonts w:ascii="Helvetica" w:hAnsi="Helvetica"/>
          <w:sz w:val="20"/>
          <w:szCs w:val="20"/>
        </w:rPr>
      </w:pPr>
    </w:p>
    <w:p w14:paraId="7F3EC148" w14:textId="6B309412" w:rsidR="0095278E" w:rsidRDefault="0095278E" w:rsidP="00586849">
      <w:pPr>
        <w:pStyle w:val="BalloonText"/>
        <w:tabs>
          <w:tab w:val="left" w:pos="933"/>
          <w:tab w:val="left" w:pos="1507"/>
          <w:tab w:val="left" w:pos="1733"/>
        </w:tabs>
        <w:ind w:left="-547"/>
        <w:rPr>
          <w:rFonts w:ascii="Helvetica" w:hAnsi="Helvetica"/>
          <w:sz w:val="20"/>
          <w:szCs w:val="20"/>
        </w:rPr>
      </w:pPr>
      <w:r w:rsidRPr="0095278E">
        <w:rPr>
          <w:rFonts w:ascii="Helvetica" w:hAnsi="Helvetica"/>
          <w:sz w:val="20"/>
          <w:szCs w:val="20"/>
        </w:rPr>
        <w:t xml:space="preserve">Choose from a variety of </w:t>
      </w:r>
      <w:r w:rsidR="004A068D">
        <w:rPr>
          <w:rFonts w:ascii="Helvetica" w:hAnsi="Helvetica"/>
          <w:sz w:val="20"/>
          <w:szCs w:val="20"/>
        </w:rPr>
        <w:t xml:space="preserve">frame and </w:t>
      </w:r>
      <w:r w:rsidR="009B7201">
        <w:rPr>
          <w:rFonts w:ascii="Helvetica" w:hAnsi="Helvetica"/>
          <w:sz w:val="20"/>
          <w:szCs w:val="20"/>
        </w:rPr>
        <w:t xml:space="preserve">anti-fog </w:t>
      </w:r>
      <w:r w:rsidR="004A068D">
        <w:rPr>
          <w:rFonts w:ascii="Helvetica" w:hAnsi="Helvetica"/>
          <w:sz w:val="20"/>
          <w:szCs w:val="20"/>
        </w:rPr>
        <w:t>lens combinations to suit your individual style</w:t>
      </w:r>
      <w:r w:rsidRPr="0095278E">
        <w:rPr>
          <w:rFonts w:ascii="Helvetica" w:hAnsi="Helvetica"/>
          <w:sz w:val="20"/>
          <w:szCs w:val="20"/>
        </w:rPr>
        <w:t xml:space="preserve">.  Black frames come in either clear, gray, or </w:t>
      </w:r>
      <w:r w:rsidR="009B7201">
        <w:rPr>
          <w:rFonts w:ascii="Helvetica" w:hAnsi="Helvetica"/>
          <w:sz w:val="20"/>
          <w:szCs w:val="20"/>
        </w:rPr>
        <w:t xml:space="preserve">indoor/outdoor </w:t>
      </w:r>
      <w:r w:rsidRPr="0095278E">
        <w:rPr>
          <w:rFonts w:ascii="Helvetica" w:hAnsi="Helvetica"/>
          <w:sz w:val="20"/>
          <w:szCs w:val="20"/>
        </w:rPr>
        <w:t xml:space="preserve">mirrored lenses. The </w:t>
      </w:r>
      <w:proofErr w:type="gramStart"/>
      <w:r w:rsidRPr="0095278E">
        <w:rPr>
          <w:rFonts w:ascii="Helvetica" w:hAnsi="Helvetica"/>
          <w:sz w:val="20"/>
          <w:szCs w:val="20"/>
        </w:rPr>
        <w:t>pearl gray</w:t>
      </w:r>
      <w:proofErr w:type="gramEnd"/>
      <w:r w:rsidRPr="0095278E">
        <w:rPr>
          <w:rFonts w:ascii="Helvetica" w:hAnsi="Helvetica"/>
          <w:sz w:val="20"/>
          <w:szCs w:val="20"/>
        </w:rPr>
        <w:t xml:space="preserve"> frame comes with clear lens, the red frame with silver mirror lenses and the translucent brown frame is fitted with a coffee color lens.  A </w:t>
      </w:r>
      <w:r w:rsidR="002E4314">
        <w:rPr>
          <w:rFonts w:ascii="Helvetica" w:hAnsi="Helvetica"/>
          <w:sz w:val="20"/>
          <w:szCs w:val="20"/>
        </w:rPr>
        <w:t xml:space="preserve">restraining </w:t>
      </w:r>
      <w:r w:rsidRPr="0095278E">
        <w:rPr>
          <w:rFonts w:ascii="Helvetica" w:hAnsi="Helvetica"/>
          <w:sz w:val="20"/>
          <w:szCs w:val="20"/>
        </w:rPr>
        <w:t xml:space="preserve">strap can be added to the </w:t>
      </w:r>
      <w:proofErr w:type="spellStart"/>
      <w:r w:rsidRPr="0095278E">
        <w:rPr>
          <w:rFonts w:ascii="Helvetica" w:hAnsi="Helvetica"/>
          <w:sz w:val="20"/>
          <w:szCs w:val="20"/>
        </w:rPr>
        <w:t>Atrex</w:t>
      </w:r>
      <w:proofErr w:type="spellEnd"/>
      <w:r w:rsidRPr="0095278E">
        <w:rPr>
          <w:rFonts w:ascii="Helvetica" w:hAnsi="Helvetica"/>
          <w:sz w:val="20"/>
          <w:szCs w:val="20"/>
        </w:rPr>
        <w:t xml:space="preserve"> glasses for convenience of use on the jobsite.  All glasses </w:t>
      </w:r>
      <w:r w:rsidR="00586849" w:rsidRPr="00586849">
        <w:rPr>
          <w:rFonts w:ascii="Helvetica" w:hAnsi="Helvetica"/>
          <w:sz w:val="20"/>
          <w:szCs w:val="20"/>
        </w:rPr>
        <w:t>meet stringent ANSI</w:t>
      </w:r>
      <w:r w:rsidR="00586849">
        <w:rPr>
          <w:rFonts w:ascii="Helvetica" w:hAnsi="Helvetica"/>
          <w:sz w:val="20"/>
          <w:szCs w:val="20"/>
        </w:rPr>
        <w:t xml:space="preserve"> </w:t>
      </w:r>
      <w:r w:rsidR="00586849" w:rsidRPr="00586849">
        <w:rPr>
          <w:rFonts w:ascii="Helvetica" w:hAnsi="Helvetica"/>
          <w:sz w:val="20"/>
          <w:szCs w:val="20"/>
        </w:rPr>
        <w:t xml:space="preserve">Z87 safety standards for high-impact protection as well as meet CAN/CSA </w:t>
      </w:r>
      <w:r w:rsidR="00D51BAF">
        <w:rPr>
          <w:rFonts w:ascii="Helvetica" w:hAnsi="Helvetica"/>
          <w:sz w:val="20"/>
          <w:szCs w:val="20"/>
        </w:rPr>
        <w:t xml:space="preserve">performance </w:t>
      </w:r>
      <w:r w:rsidR="00586849" w:rsidRPr="00586849">
        <w:rPr>
          <w:rFonts w:ascii="Helvetica" w:hAnsi="Helvetica"/>
          <w:sz w:val="20"/>
          <w:szCs w:val="20"/>
        </w:rPr>
        <w:t>standards for eye and face protection</w:t>
      </w:r>
      <w:r w:rsidR="00586849">
        <w:rPr>
          <w:rFonts w:ascii="Helvetica" w:hAnsi="Helvetica"/>
          <w:sz w:val="20"/>
          <w:szCs w:val="20"/>
        </w:rPr>
        <w:t xml:space="preserve">. </w:t>
      </w:r>
      <w:r w:rsidRPr="0095278E">
        <w:rPr>
          <w:rFonts w:ascii="Helvetica" w:hAnsi="Helvetica"/>
          <w:sz w:val="20"/>
          <w:szCs w:val="20"/>
        </w:rPr>
        <w:t xml:space="preserve"> </w:t>
      </w:r>
      <w:r w:rsidR="00586849">
        <w:rPr>
          <w:rFonts w:ascii="Helvetica" w:hAnsi="Helvetica"/>
          <w:sz w:val="20"/>
          <w:szCs w:val="20"/>
        </w:rPr>
        <w:t xml:space="preserve">The </w:t>
      </w:r>
      <w:proofErr w:type="spellStart"/>
      <w:r w:rsidR="004A068D">
        <w:rPr>
          <w:rFonts w:ascii="Helvetica" w:hAnsi="Helvetica"/>
          <w:sz w:val="20"/>
          <w:szCs w:val="20"/>
        </w:rPr>
        <w:t>Atrex</w:t>
      </w:r>
      <w:proofErr w:type="spellEnd"/>
      <w:r w:rsidR="004A068D">
        <w:rPr>
          <w:rFonts w:ascii="Helvetica" w:hAnsi="Helvetica"/>
          <w:sz w:val="20"/>
          <w:szCs w:val="20"/>
        </w:rPr>
        <w:t xml:space="preserve"> </w:t>
      </w:r>
      <w:r w:rsidR="00586849">
        <w:rPr>
          <w:rFonts w:ascii="Helvetica" w:hAnsi="Helvetica"/>
          <w:sz w:val="20"/>
          <w:szCs w:val="20"/>
        </w:rPr>
        <w:t xml:space="preserve">glasses are also </w:t>
      </w:r>
      <w:r w:rsidRPr="0095278E">
        <w:rPr>
          <w:rFonts w:ascii="Helvetica" w:hAnsi="Helvetica"/>
          <w:sz w:val="20"/>
          <w:szCs w:val="20"/>
        </w:rPr>
        <w:t>UV rated and have visible light filters to keep harmful rays from affecting your sight.</w:t>
      </w:r>
    </w:p>
    <w:p w14:paraId="44EEB417" w14:textId="77777777" w:rsidR="00A0069F" w:rsidRPr="0095278E" w:rsidRDefault="00A0069F" w:rsidP="00A0069F">
      <w:pPr>
        <w:pStyle w:val="BalloonText"/>
        <w:tabs>
          <w:tab w:val="left" w:pos="933"/>
          <w:tab w:val="left" w:pos="1507"/>
          <w:tab w:val="left" w:pos="1733"/>
        </w:tabs>
        <w:rPr>
          <w:rFonts w:ascii="Helvetica" w:hAnsi="Helvetica"/>
          <w:sz w:val="20"/>
          <w:szCs w:val="20"/>
        </w:rPr>
      </w:pPr>
    </w:p>
    <w:p w14:paraId="43565F56" w14:textId="7F8A183A" w:rsidR="000B10EE" w:rsidRPr="0095278E" w:rsidRDefault="000B10EE" w:rsidP="000B10EE">
      <w:pPr>
        <w:pStyle w:val="BalloonText"/>
        <w:tabs>
          <w:tab w:val="left" w:pos="933"/>
          <w:tab w:val="left" w:pos="1507"/>
          <w:tab w:val="left" w:pos="1733"/>
        </w:tabs>
        <w:ind w:left="-547"/>
        <w:rPr>
          <w:rFonts w:ascii="Helvetica" w:hAnsi="Helvetica"/>
          <w:color w:val="000000"/>
          <w:sz w:val="20"/>
          <w:szCs w:val="20"/>
        </w:rPr>
      </w:pPr>
      <w:r w:rsidRPr="0095278E">
        <w:rPr>
          <w:rFonts w:ascii="Helvetica" w:hAnsi="Helvetica"/>
          <w:color w:val="000000"/>
          <w:sz w:val="20"/>
          <w:szCs w:val="20"/>
        </w:rPr>
        <w:t xml:space="preserve">Pyramex Safety delivers high quality safety products through its innovative and stylish product lines.  The company designs and manufactures a variety of personal protective equipment from eye, head, hand, welding, </w:t>
      </w:r>
      <w:proofErr w:type="gramStart"/>
      <w:r w:rsidRPr="0095278E">
        <w:rPr>
          <w:rFonts w:ascii="Helvetica" w:hAnsi="Helvetica"/>
          <w:color w:val="000000"/>
          <w:sz w:val="20"/>
          <w:szCs w:val="20"/>
        </w:rPr>
        <w:t>cooling</w:t>
      </w:r>
      <w:proofErr w:type="gramEnd"/>
      <w:r w:rsidRPr="0095278E">
        <w:rPr>
          <w:rFonts w:ascii="Helvetica" w:hAnsi="Helvetica"/>
          <w:color w:val="000000"/>
          <w:sz w:val="20"/>
          <w:szCs w:val="20"/>
        </w:rPr>
        <w:t xml:space="preserve"> and hearing protection to hi-vis work wear, respirators and ergonomic gear. Founded in 1991, the company has more than </w:t>
      </w:r>
      <w:r w:rsidR="00E76DE9" w:rsidRPr="0095278E">
        <w:rPr>
          <w:rFonts w:ascii="Helvetica" w:hAnsi="Helvetica"/>
          <w:color w:val="000000"/>
          <w:sz w:val="20"/>
          <w:szCs w:val="20"/>
        </w:rPr>
        <w:t>3</w:t>
      </w:r>
      <w:r w:rsidRPr="0095278E">
        <w:rPr>
          <w:rFonts w:ascii="Helvetica" w:hAnsi="Helvetica"/>
          <w:color w:val="000000"/>
          <w:sz w:val="20"/>
          <w:szCs w:val="20"/>
        </w:rPr>
        <w:t>,000 distributors in over 6</w:t>
      </w:r>
      <w:r w:rsidR="00E76DE9" w:rsidRPr="0095278E">
        <w:rPr>
          <w:rFonts w:ascii="Helvetica" w:hAnsi="Helvetica"/>
          <w:color w:val="000000"/>
          <w:sz w:val="20"/>
          <w:szCs w:val="20"/>
        </w:rPr>
        <w:t>5</w:t>
      </w:r>
      <w:r w:rsidR="00E76DE9" w:rsidRPr="0095278E">
        <w:rPr>
          <w:rStyle w:val="CommentReference"/>
          <w:rFonts w:ascii="Helvetica" w:hAnsi="Helvetica" w:cs="Times New Roman"/>
          <w:sz w:val="20"/>
          <w:szCs w:val="20"/>
        </w:rPr>
        <w:t xml:space="preserve"> </w:t>
      </w:r>
      <w:r w:rsidR="00E76DE9" w:rsidRPr="0095278E">
        <w:rPr>
          <w:rFonts w:ascii="Helvetica" w:hAnsi="Helvetica"/>
          <w:color w:val="000000"/>
          <w:sz w:val="20"/>
          <w:szCs w:val="20"/>
        </w:rPr>
        <w:t>co</w:t>
      </w:r>
      <w:r w:rsidRPr="0095278E">
        <w:rPr>
          <w:rFonts w:ascii="Helvetica" w:hAnsi="Helvetica"/>
          <w:color w:val="000000"/>
          <w:sz w:val="20"/>
          <w:szCs w:val="20"/>
        </w:rPr>
        <w:t xml:space="preserve">untries and is committed to investing countless hours to research, design and testing to ensure Pyramex products meet the highest industry safety standards. To learn more about Pyramex Safety, go to </w:t>
      </w:r>
      <w:hyperlink r:id="rId7" w:history="1">
        <w:r w:rsidRPr="0095278E">
          <w:rPr>
            <w:rStyle w:val="Hyperlink"/>
            <w:rFonts w:ascii="Helvetica" w:hAnsi="Helvetica"/>
            <w:color w:val="000000"/>
            <w:sz w:val="20"/>
            <w:szCs w:val="20"/>
          </w:rPr>
          <w:t>www.pyramexsafety.com</w:t>
        </w:r>
      </w:hyperlink>
      <w:r w:rsidRPr="0095278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 xml:space="preserve">Connect with </w:t>
      </w:r>
      <w:proofErr w:type="spellStart"/>
      <w:r w:rsidRPr="00205BFE">
        <w:rPr>
          <w:rFonts w:ascii="Helvetica" w:hAnsi="Helvetica"/>
          <w:i/>
          <w:color w:val="000000"/>
          <w:sz w:val="18"/>
          <w:szCs w:val="18"/>
        </w:rPr>
        <w:t>Pyramex</w:t>
      </w:r>
      <w:proofErr w:type="spellEnd"/>
      <w:r w:rsidRPr="00205BFE">
        <w:rPr>
          <w:rFonts w:ascii="Helvetica" w:hAnsi="Helvetica"/>
          <w:i/>
          <w:color w:val="000000"/>
          <w:sz w:val="18"/>
          <w:szCs w:val="18"/>
        </w:rPr>
        <w:t xml:space="preserve">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4"/>
                    </pic:cNvPr>
                    <pic:cNvPicPr/>
                  </pic:nvPicPr>
                  <pic:blipFill>
                    <a:blip r:embed="rId15"/>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6"/>
                    </pic:cNvPr>
                    <pic:cNvPicPr/>
                  </pic:nvPicPr>
                  <pic:blipFill>
                    <a:blip r:embed="rId17"/>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8"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2D8D" w14:textId="77777777" w:rsidR="007A1B4F" w:rsidRDefault="007A1B4F">
      <w:pPr>
        <w:spacing w:after="0" w:line="240" w:lineRule="auto"/>
      </w:pPr>
      <w:r>
        <w:separator/>
      </w:r>
    </w:p>
  </w:endnote>
  <w:endnote w:type="continuationSeparator" w:id="0">
    <w:p w14:paraId="15D1F38B" w14:textId="77777777" w:rsidR="007A1B4F" w:rsidRDefault="007A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BB65" w14:textId="77777777" w:rsidR="007A1B4F" w:rsidRDefault="007A1B4F">
      <w:pPr>
        <w:spacing w:after="0" w:line="240" w:lineRule="auto"/>
      </w:pPr>
      <w:r>
        <w:separator/>
      </w:r>
    </w:p>
  </w:footnote>
  <w:footnote w:type="continuationSeparator" w:id="0">
    <w:p w14:paraId="0DAD56FF" w14:textId="77777777" w:rsidR="007A1B4F" w:rsidRDefault="007A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4595A"/>
    <w:rsid w:val="000A3D4B"/>
    <w:rsid w:val="000B10EE"/>
    <w:rsid w:val="000D0569"/>
    <w:rsid w:val="001A5878"/>
    <w:rsid w:val="001C0C69"/>
    <w:rsid w:val="001F7633"/>
    <w:rsid w:val="00273E07"/>
    <w:rsid w:val="002E4314"/>
    <w:rsid w:val="00300437"/>
    <w:rsid w:val="00331E90"/>
    <w:rsid w:val="00355CC4"/>
    <w:rsid w:val="003C4041"/>
    <w:rsid w:val="003E02FA"/>
    <w:rsid w:val="004613C8"/>
    <w:rsid w:val="004A068D"/>
    <w:rsid w:val="004C4935"/>
    <w:rsid w:val="004E4908"/>
    <w:rsid w:val="00561E85"/>
    <w:rsid w:val="00586849"/>
    <w:rsid w:val="005F29E8"/>
    <w:rsid w:val="005F6717"/>
    <w:rsid w:val="00611207"/>
    <w:rsid w:val="0067432B"/>
    <w:rsid w:val="007070E8"/>
    <w:rsid w:val="0073459D"/>
    <w:rsid w:val="007446D7"/>
    <w:rsid w:val="0077192B"/>
    <w:rsid w:val="007A1B4F"/>
    <w:rsid w:val="007D37AC"/>
    <w:rsid w:val="00854677"/>
    <w:rsid w:val="0089349F"/>
    <w:rsid w:val="008B10C2"/>
    <w:rsid w:val="008D1761"/>
    <w:rsid w:val="008D5223"/>
    <w:rsid w:val="00934B6D"/>
    <w:rsid w:val="009371CB"/>
    <w:rsid w:val="0095278E"/>
    <w:rsid w:val="009B7201"/>
    <w:rsid w:val="00A0069F"/>
    <w:rsid w:val="00A35CC8"/>
    <w:rsid w:val="00A64A75"/>
    <w:rsid w:val="00A750C6"/>
    <w:rsid w:val="00A86B4A"/>
    <w:rsid w:val="00B02853"/>
    <w:rsid w:val="00B51773"/>
    <w:rsid w:val="00B75DFD"/>
    <w:rsid w:val="00C64FE1"/>
    <w:rsid w:val="00D460B8"/>
    <w:rsid w:val="00D51BAF"/>
    <w:rsid w:val="00E40022"/>
    <w:rsid w:val="00E600F3"/>
    <w:rsid w:val="00E76DE9"/>
    <w:rsid w:val="00E93848"/>
    <w:rsid w:val="00EC35EA"/>
    <w:rsid w:val="00EE76A1"/>
    <w:rsid w:val="00F46B5B"/>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pPr>
      <w:spacing w:after="0" w:line="240" w:lineRule="auto"/>
    </w:pPr>
    <w:rPr>
      <w:rFonts w:ascii="Courier" w:eastAsia="Times New Roman" w:hAnsi="Courier"/>
      <w:sz w:val="24"/>
      <w:szCs w:val="20"/>
    </w:rPr>
  </w:style>
  <w:style w:type="paragraph" w:customStyle="1" w:styleId="BearPR04">
    <w:name w:val="BearPR '04"/>
    <w:basedOn w:val="Normal"/>
    <w:rsid w:val="0095278E"/>
    <w:pPr>
      <w:spacing w:after="0" w:line="360" w:lineRule="atLeast"/>
    </w:pPr>
    <w:rPr>
      <w:rFonts w:ascii="Helvetica" w:eastAsia="Times New Roman"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yramexSafety" TargetMode="External"/><Relationship Id="rId13" Type="http://schemas.openxmlformats.org/officeDocument/2006/relationships/image" Target="media/image3.png"/><Relationship Id="rId18" Type="http://schemas.openxmlformats.org/officeDocument/2006/relationships/hyperlink" Target="http://full-throttlecom.com/press-room/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yramexsafety.com" TargetMode="External"/><Relationship Id="rId12" Type="http://schemas.openxmlformats.org/officeDocument/2006/relationships/hyperlink" Target="https://www.youtube.com/user/PyramexSafet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twitter.com/Pyram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pyramexsafe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pyramex-safety-produ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2021-10-11T02:08:00Z</dcterms:created>
  <dcterms:modified xsi:type="dcterms:W3CDTF">2021-10-11T02:08:00Z</dcterms:modified>
</cp:coreProperties>
</file>