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3B38206B" w14:textId="77777777" w:rsidR="00D807A0" w:rsidRDefault="00D807A0" w:rsidP="00CB4741">
      <w:pPr>
        <w:pBdr>
          <w:top w:val="nil"/>
          <w:left w:val="nil"/>
          <w:bottom w:val="nil"/>
          <w:right w:val="nil"/>
          <w:between w:val="nil"/>
        </w:pBdr>
        <w:tabs>
          <w:tab w:val="center" w:pos="4320"/>
          <w:tab w:val="right" w:pos="8640"/>
        </w:tabs>
        <w:spacing w:after="0" w:line="240" w:lineRule="auto"/>
        <w:ind w:leftChars="0" w:left="0" w:firstLineChars="0" w:firstLine="0"/>
        <w:rPr>
          <w:rFonts w:ascii="Helvetica" w:eastAsia="Helvetica Neue" w:hAnsi="Helvetica" w:cs="Helvetica Neue"/>
          <w:b/>
        </w:rPr>
      </w:pPr>
    </w:p>
    <w:p w14:paraId="3586563B" w14:textId="77777777"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sz w:val="24"/>
          <w:szCs w:val="24"/>
        </w:rPr>
      </w:pPr>
      <w:r w:rsidRPr="005D6658">
        <w:rPr>
          <w:rFonts w:ascii="Helvetica" w:eastAsia="Helvetica Neue" w:hAnsi="Helvetica" w:cs="Helvetica Neue"/>
          <w:b/>
          <w:sz w:val="24"/>
          <w:szCs w:val="24"/>
        </w:rPr>
        <w:t>DICKINSON ARMS IS TALKING TURKEY WITH NEW SHOTGUNS</w:t>
      </w:r>
    </w:p>
    <w:p w14:paraId="27CE7786" w14:textId="77777777" w:rsidR="00892BE3" w:rsidRPr="005D6658" w:rsidRDefault="00892BE3" w:rsidP="00892BE3">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color w:val="000000"/>
          <w:sz w:val="16"/>
          <w:szCs w:val="16"/>
        </w:rPr>
      </w:pPr>
    </w:p>
    <w:p w14:paraId="2CE7A184" w14:textId="55D4EDCE" w:rsidR="00CB4741" w:rsidRPr="00CB4741" w:rsidRDefault="00CB4741" w:rsidP="00CB4741">
      <w:pPr>
        <w:pBdr>
          <w:top w:val="nil"/>
          <w:left w:val="nil"/>
          <w:bottom w:val="nil"/>
          <w:right w:val="nil"/>
          <w:between w:val="nil"/>
        </w:pBdr>
        <w:tabs>
          <w:tab w:val="center" w:pos="4320"/>
          <w:tab w:val="right" w:pos="8640"/>
        </w:tabs>
        <w:spacing w:after="0" w:line="240" w:lineRule="auto"/>
        <w:ind w:left="0" w:hanging="2"/>
        <w:jc w:val="center"/>
        <w:rPr>
          <w:rFonts w:ascii="Helvetica Neue" w:eastAsia="Helvetica Neue" w:hAnsi="Helvetica Neue" w:cs="Helvetica Neue"/>
          <w:b/>
          <w:i/>
          <w:iCs/>
        </w:rPr>
      </w:pPr>
      <w:r w:rsidRPr="005D6658">
        <w:rPr>
          <w:rFonts w:ascii="Helvetica" w:eastAsia="Helvetica Neue" w:hAnsi="Helvetica" w:cs="Helvetica Neue"/>
          <w:b/>
          <w:i/>
          <w:iCs/>
        </w:rPr>
        <w:t>Hit the Woods with Two New Turkey Hunting Shotguns, Loaded with Every Feature You Need</w:t>
      </w:r>
    </w:p>
    <w:p w14:paraId="4E4288F1" w14:textId="594F7E57" w:rsidR="00892BE3" w:rsidRPr="00140457" w:rsidRDefault="00892BE3" w:rsidP="00892BE3">
      <w:pPr>
        <w:pBdr>
          <w:top w:val="nil"/>
          <w:left w:val="nil"/>
          <w:bottom w:val="nil"/>
          <w:right w:val="nil"/>
          <w:between w:val="nil"/>
        </w:pBdr>
        <w:tabs>
          <w:tab w:val="center" w:pos="4320"/>
          <w:tab w:val="right" w:pos="8640"/>
        </w:tabs>
        <w:spacing w:after="0" w:line="240" w:lineRule="auto"/>
        <w:ind w:left="0" w:hanging="2"/>
        <w:rPr>
          <w:rFonts w:ascii="Helvetica Neue" w:eastAsia="Helvetica Neue" w:hAnsi="Helvetica Neue" w:cs="Helvetica Neue"/>
          <w:sz w:val="18"/>
          <w:szCs w:val="18"/>
        </w:rPr>
      </w:pPr>
    </w:p>
    <w:p w14:paraId="28205989" w14:textId="4F999110"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hyperlink r:id="rId9" w:history="1">
        <w:r w:rsidRPr="005D6658">
          <w:rPr>
            <w:rStyle w:val="Hyperlink"/>
            <w:rFonts w:ascii="Helvetica" w:hAnsi="Helvetica"/>
            <w:sz w:val="18"/>
            <w:szCs w:val="18"/>
          </w:rPr>
          <w:t>Dickinson Arms</w:t>
        </w:r>
      </w:hyperlink>
      <w:r w:rsidRPr="005D6658">
        <w:rPr>
          <w:rFonts w:ascii="Helvetica" w:hAnsi="Helvetica"/>
          <w:sz w:val="18"/>
          <w:szCs w:val="18"/>
        </w:rPr>
        <w:t xml:space="preserve">, a world-renowned leader in high-quality firearms, is well-known for quality shotguns and is strutting into the turkey-hunting scene with two new shotguns that are primed to gobble up the market this season. These new 12-gauge shotguns, one semi-automatic and one pump-action gun, are loaded with the features turkey </w:t>
      </w:r>
      <w:proofErr w:type="gramStart"/>
      <w:r w:rsidRPr="005D6658">
        <w:rPr>
          <w:rFonts w:ascii="Helvetica" w:hAnsi="Helvetica"/>
          <w:sz w:val="18"/>
          <w:szCs w:val="18"/>
        </w:rPr>
        <w:t>hunters</w:t>
      </w:r>
      <w:proofErr w:type="gramEnd"/>
      <w:r w:rsidRPr="005D6658">
        <w:rPr>
          <w:rFonts w:ascii="Helvetica" w:hAnsi="Helvetica"/>
          <w:sz w:val="18"/>
          <w:szCs w:val="18"/>
        </w:rPr>
        <w:t xml:space="preserve"> demand.</w:t>
      </w:r>
    </w:p>
    <w:p w14:paraId="7C17B6C1" w14:textId="1FD9EEA8"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p>
    <w:p w14:paraId="34CB1016" w14:textId="130F5E19"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r w:rsidRPr="005D6658">
        <w:rPr>
          <w:rFonts w:ascii="Helvetica" w:hAnsi="Helvetica"/>
          <w:sz w:val="18"/>
          <w:szCs w:val="18"/>
        </w:rPr>
        <w:t>The pump-action Com</w:t>
      </w:r>
      <w:r w:rsidR="003911A2" w:rsidRPr="005D6658">
        <w:rPr>
          <w:rFonts w:ascii="Helvetica" w:hAnsi="Helvetica"/>
          <w:sz w:val="18"/>
          <w:szCs w:val="18"/>
        </w:rPr>
        <w:t>m</w:t>
      </w:r>
      <w:r w:rsidRPr="005D6658">
        <w:rPr>
          <w:rFonts w:ascii="Helvetica" w:hAnsi="Helvetica"/>
          <w:sz w:val="18"/>
          <w:szCs w:val="18"/>
        </w:rPr>
        <w:t xml:space="preserve">ando XX3T-C-2 and semi-automatic 212C24-OS are built with the world’s most advanced CNC manufacturing technology. Both are finished in Mossy Oak™ Obsession camouflage, perfect for blending into any conditions. </w:t>
      </w:r>
      <w:proofErr w:type="gramStart"/>
      <w:r w:rsidR="003911A2" w:rsidRPr="005D6658">
        <w:rPr>
          <w:rFonts w:ascii="Helvetica" w:hAnsi="Helvetica"/>
          <w:sz w:val="18"/>
          <w:szCs w:val="18"/>
        </w:rPr>
        <w:t>Both 12</w:t>
      </w:r>
      <w:proofErr w:type="gramEnd"/>
      <w:r w:rsidRPr="005D6658">
        <w:rPr>
          <w:rFonts w:ascii="Helvetica" w:hAnsi="Helvetica"/>
          <w:sz w:val="18"/>
          <w:szCs w:val="18"/>
        </w:rPr>
        <w:t>-gauge shotguns have a 3-inch chamber.</w:t>
      </w:r>
    </w:p>
    <w:p w14:paraId="6D34ED23" w14:textId="453E8B16"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p>
    <w:p w14:paraId="227A4D0E" w14:textId="19833C9F"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r w:rsidRPr="005D6658">
        <w:rPr>
          <w:rFonts w:ascii="Helvetica" w:hAnsi="Helvetica"/>
          <w:sz w:val="18"/>
          <w:szCs w:val="18"/>
        </w:rPr>
        <w:t xml:space="preserve">The 212C24-OS semi-automatic 12-gauge shotgun has a contoured, pistol-grip stock and a 24-inch barrel with ventilated rib. It comes with hi-vis fiber optic front and rear sights as well as picatinny railing on the top of the receiver, so you can mount the turkey optic of your choice. It also comes with an extended extra-full choke that has been tested for extremely tight patterns with multiple types of ammo, ensuring it has the best possible performance. You get an included hard-side carrying case and a magazine capacity-limiting plug. Being </w:t>
      </w:r>
      <w:proofErr w:type="gramStart"/>
      <w:r w:rsidRPr="005D6658">
        <w:rPr>
          <w:rFonts w:ascii="Helvetica" w:hAnsi="Helvetica"/>
          <w:sz w:val="18"/>
          <w:szCs w:val="18"/>
        </w:rPr>
        <w:t>semi</w:t>
      </w:r>
      <w:proofErr w:type="gramEnd"/>
      <w:r w:rsidRPr="005D6658">
        <w:rPr>
          <w:rFonts w:ascii="Helvetica" w:hAnsi="Helvetica"/>
          <w:sz w:val="18"/>
          <w:szCs w:val="18"/>
        </w:rPr>
        <w:t>-automatic means you have extremely fast follow-up shots, just in case the tom moves at the last minute.</w:t>
      </w:r>
    </w:p>
    <w:p w14:paraId="48EAD6CC" w14:textId="77777777"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p>
    <w:p w14:paraId="413C8674" w14:textId="719F0D02" w:rsidR="00892BE3"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r w:rsidRPr="005D6658">
        <w:rPr>
          <w:rFonts w:ascii="Helvetica" w:hAnsi="Helvetica"/>
          <w:sz w:val="18"/>
          <w:szCs w:val="18"/>
        </w:rPr>
        <w:t xml:space="preserve">The Commando XX3T-C-2 pump-action, 12-gauge shotgun is similarly equipped with a contoured pistol grip stock and 24-inch barrel with a ventilated rib. It also uses the hi-vis fiber optic front and rear sights for outstanding visibility and accuracy. You can also mount your own turkey optic using the picatinny rail on top of the receiver. There is also a short rail on the bottom of the </w:t>
      </w:r>
      <w:proofErr w:type="spellStart"/>
      <w:r w:rsidRPr="005D6658">
        <w:rPr>
          <w:rFonts w:ascii="Helvetica" w:hAnsi="Helvetica"/>
          <w:sz w:val="18"/>
          <w:szCs w:val="18"/>
        </w:rPr>
        <w:t>forestock</w:t>
      </w:r>
      <w:proofErr w:type="spellEnd"/>
      <w:r w:rsidRPr="005D6658">
        <w:rPr>
          <w:rFonts w:ascii="Helvetica" w:hAnsi="Helvetica"/>
          <w:sz w:val="18"/>
          <w:szCs w:val="18"/>
        </w:rPr>
        <w:t xml:space="preserve"> to mount additional accessories. The Commando also comes with just an extended extra-full choke that has been tested for extremely tight patterns. You also get an included hard-side carrying case and a magazine capacity-limiting plug. The Commando is a reliable and affordable turkey gun that gives you options for how you set up on the birds. For more information, </w:t>
      </w:r>
      <w:r w:rsidR="002A1307" w:rsidRPr="005D6658">
        <w:rPr>
          <w:rFonts w:ascii="Helvetica" w:hAnsi="Helvetica"/>
          <w:sz w:val="18"/>
          <w:szCs w:val="18"/>
        </w:rPr>
        <w:t xml:space="preserve">visit </w:t>
      </w:r>
      <w:hyperlink r:id="rId10" w:history="1">
        <w:r w:rsidRPr="005D6658">
          <w:rPr>
            <w:rStyle w:val="Hyperlink"/>
            <w:rFonts w:ascii="Helvetica" w:hAnsi="Helvetica"/>
            <w:sz w:val="18"/>
            <w:szCs w:val="18"/>
          </w:rPr>
          <w:t>dickinsonarms.com.</w:t>
        </w:r>
      </w:hyperlink>
    </w:p>
    <w:p w14:paraId="06EE2862" w14:textId="77777777" w:rsidR="00CB4741" w:rsidRPr="005D6658" w:rsidRDefault="00CB4741" w:rsidP="00CB4741">
      <w:pPr>
        <w:pBdr>
          <w:top w:val="nil"/>
          <w:left w:val="nil"/>
          <w:bottom w:val="nil"/>
          <w:right w:val="nil"/>
          <w:between w:val="nil"/>
        </w:pBdr>
        <w:tabs>
          <w:tab w:val="center" w:pos="4320"/>
          <w:tab w:val="right" w:pos="8640"/>
        </w:tabs>
        <w:spacing w:after="0" w:line="240" w:lineRule="auto"/>
        <w:ind w:left="0" w:hanging="2"/>
        <w:rPr>
          <w:rFonts w:ascii="Helvetica" w:hAnsi="Helvetica"/>
          <w:sz w:val="18"/>
          <w:szCs w:val="18"/>
        </w:rPr>
      </w:pPr>
    </w:p>
    <w:p w14:paraId="49FEE9AE" w14:textId="77777777" w:rsidR="00892BE3" w:rsidRPr="005D6658" w:rsidRDefault="00892BE3" w:rsidP="00892BE3">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18"/>
          <w:szCs w:val="18"/>
        </w:rPr>
      </w:pPr>
      <w:r w:rsidRPr="005D6658">
        <w:rPr>
          <w:rFonts w:ascii="Helvetica" w:eastAsia="Helvetica Neue" w:hAnsi="Helvetica" w:cs="Helvetica Neue"/>
          <w:b/>
          <w:i/>
          <w:sz w:val="18"/>
          <w:szCs w:val="18"/>
        </w:rPr>
        <w:t>About Dickinson Arms</w:t>
      </w:r>
    </w:p>
    <w:p w14:paraId="68A3C9F7" w14:textId="3B70F577" w:rsidR="00892BE3" w:rsidRPr="005D6658" w:rsidRDefault="00892BE3" w:rsidP="00980DC5">
      <w:pPr>
        <w:tabs>
          <w:tab w:val="center" w:pos="4320"/>
          <w:tab w:val="right" w:pos="8640"/>
        </w:tabs>
        <w:spacing w:after="0" w:line="240" w:lineRule="auto"/>
        <w:ind w:left="0" w:hanging="2"/>
        <w:rPr>
          <w:rFonts w:ascii="Helvetica" w:eastAsia="Helvetica Neue" w:hAnsi="Helvetica" w:cs="Helvetica Neue"/>
          <w:sz w:val="18"/>
          <w:szCs w:val="18"/>
        </w:rPr>
      </w:pPr>
      <w:r w:rsidRPr="005D6658">
        <w:rPr>
          <w:rFonts w:ascii="Helvetica" w:eastAsia="Helvetica Neue" w:hAnsi="Helvetica" w:cs="Helvetica Neue"/>
          <w:sz w:val="18"/>
          <w:szCs w:val="18"/>
        </w:rPr>
        <w:t>Dickinson Arms is a leader in stunning, hand-built, high-quality firearms. Whether it’s a pump shotgun, an inertia or gas-operated semi-automatic, a supremely balanced over &amp; under, a side-by-side, or a carefully crafted 1911 pistol, you’ll feel the Dickinson</w:t>
      </w:r>
      <w:r w:rsidR="00FE7F9B" w:rsidRPr="005D6658">
        <w:rPr>
          <w:rFonts w:ascii="Helvetica" w:eastAsia="Helvetica Neue" w:hAnsi="Helvetica" w:cs="Helvetica Neue"/>
          <w:sz w:val="18"/>
          <w:szCs w:val="18"/>
        </w:rPr>
        <w:t xml:space="preserve"> d</w:t>
      </w:r>
      <w:r w:rsidRPr="005D6658">
        <w:rPr>
          <w:rFonts w:ascii="Helvetica" w:eastAsia="Helvetica Neue" w:hAnsi="Helvetica" w:cs="Helvetica Neue"/>
          <w:sz w:val="18"/>
          <w:szCs w:val="18"/>
        </w:rPr>
        <w:t xml:space="preserve">ifference the moment you pick one up. Wood and metal parts are perfectly shaped and hand-fitted together. Dickinson offers an extensive collection of shotguns and 1911s. At Dickinson Arms, we are building our reputation one firearm and one customer at a time. When you buy a </w:t>
      </w:r>
      <w:hyperlink r:id="rId11">
        <w:r w:rsidRPr="005D6658">
          <w:rPr>
            <w:rFonts w:ascii="Helvetica" w:eastAsia="Helvetica Neue" w:hAnsi="Helvetica" w:cs="Helvetica Neue"/>
            <w:color w:val="1155CC"/>
            <w:sz w:val="18"/>
            <w:szCs w:val="18"/>
            <w:u w:val="single"/>
          </w:rPr>
          <w:t>Dickinson firearm</w:t>
        </w:r>
      </w:hyperlink>
      <w:r w:rsidRPr="005D6658">
        <w:rPr>
          <w:rFonts w:ascii="Helvetica" w:eastAsia="Helvetica Neue" w:hAnsi="Helvetica" w:cs="Helvetica Neue"/>
          <w:sz w:val="18"/>
          <w:szCs w:val="18"/>
        </w:rPr>
        <w:t>, you become part of our family — and we pledge to support you with the finest products and the best U.S.-based customer support in the industry.</w:t>
      </w:r>
    </w:p>
    <w:p w14:paraId="5B0E9867" w14:textId="77777777" w:rsidR="00892BE3" w:rsidRDefault="00892BE3" w:rsidP="00892BE3">
      <w:pPr>
        <w:pBdr>
          <w:top w:val="nil"/>
          <w:left w:val="nil"/>
          <w:bottom w:val="nil"/>
          <w:right w:val="nil"/>
          <w:between w:val="nil"/>
        </w:pBdr>
        <w:tabs>
          <w:tab w:val="center" w:pos="4320"/>
          <w:tab w:val="right" w:pos="8640"/>
        </w:tabs>
        <w:spacing w:after="0" w:line="240" w:lineRule="auto"/>
        <w:ind w:left="0" w:hanging="2"/>
        <w:jc w:val="center"/>
        <w:rPr>
          <w:rFonts w:ascii="Helvetica Neue" w:eastAsia="Helvetica Neue" w:hAnsi="Helvetica Neue" w:cs="Helvetica Neue"/>
          <w:b/>
          <w:color w:val="000000"/>
          <w:sz w:val="16"/>
          <w:szCs w:val="16"/>
        </w:rPr>
      </w:pPr>
    </w:p>
    <w:p w14:paraId="59F99197" w14:textId="77777777" w:rsidR="00892BE3" w:rsidRDefault="00892BE3" w:rsidP="00892BE3">
      <w:pPr>
        <w:spacing w:after="0" w:line="240" w:lineRule="auto"/>
        <w:ind w:left="0" w:hanging="2"/>
        <w:rPr>
          <w:rFonts w:ascii="Helvetica Neue" w:eastAsia="Helvetica Neue" w:hAnsi="Helvetica Neue" w:cs="Helvetica Neue"/>
          <w:i/>
          <w:color w:val="000000"/>
          <w:sz w:val="18"/>
          <w:szCs w:val="18"/>
        </w:rPr>
      </w:pPr>
      <w:r>
        <w:rPr>
          <w:rFonts w:ascii="Helvetica Neue" w:eastAsia="Helvetica Neue" w:hAnsi="Helvetica Neue" w:cs="Helvetica Neue"/>
          <w:i/>
          <w:color w:val="000000"/>
          <w:sz w:val="18"/>
          <w:szCs w:val="18"/>
        </w:rPr>
        <w:t>Connect with us on social media:</w:t>
      </w:r>
    </w:p>
    <w:p w14:paraId="3A4D6985" w14:textId="77777777" w:rsidR="00CB4741" w:rsidRDefault="00CB4741" w:rsidP="00892BE3">
      <w:pPr>
        <w:spacing w:after="0" w:line="240" w:lineRule="auto"/>
        <w:ind w:left="0" w:hanging="2"/>
        <w:rPr>
          <w:rFonts w:ascii="Helvetica Neue" w:eastAsia="Helvetica Neue" w:hAnsi="Helvetica Neue" w:cs="Helvetica Neue"/>
          <w:i/>
          <w:sz w:val="18"/>
          <w:szCs w:val="18"/>
        </w:rPr>
      </w:pPr>
    </w:p>
    <w:p w14:paraId="56533674" w14:textId="3C70FAA1" w:rsidR="00892BE3" w:rsidRDefault="00892BE3" w:rsidP="00892BE3">
      <w:pPr>
        <w:tabs>
          <w:tab w:val="left" w:pos="10080"/>
        </w:tabs>
        <w:spacing w:after="0" w:line="240" w:lineRule="auto"/>
        <w:ind w:left="0" w:right="720" w:hanging="2"/>
        <w:rPr>
          <w:rFonts w:ascii="Helvetica Neue" w:eastAsia="Helvetica Neue" w:hAnsi="Helvetica Neue" w:cs="Helvetica Neue"/>
          <w:b/>
          <w:i/>
          <w:sz w:val="19"/>
          <w:szCs w:val="19"/>
        </w:rPr>
      </w:pPr>
      <w:r>
        <w:rPr>
          <w:rFonts w:ascii="Helvetica Neue" w:eastAsia="Helvetica Neue" w:hAnsi="Helvetica Neue" w:cs="Helvetica Neue"/>
          <w:b/>
          <w:i/>
          <w:noProof/>
          <w:sz w:val="19"/>
          <w:szCs w:val="19"/>
        </w:rPr>
        <w:drawing>
          <wp:inline distT="0" distB="0" distL="0" distR="0" wp14:anchorId="515CEFDC" wp14:editId="6CCE2BBE">
            <wp:extent cx="321945" cy="321945"/>
            <wp:effectExtent l="0" t="0" r="0" b="0"/>
            <wp:docPr id="40" name="image5.png" descr="facebook[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0" name="image5.png" descr="facebook[2]">
                      <a:hlinkClick r:id="rId12"/>
                    </pic:cNvPr>
                    <pic:cNvPicPr preferRelativeResize="0"/>
                  </pic:nvPicPr>
                  <pic:blipFill>
                    <a:blip r:embed="rId13"/>
                    <a:srcRect/>
                    <a:stretch>
                      <a:fillRect/>
                    </a:stretch>
                  </pic:blipFill>
                  <pic:spPr>
                    <a:xfrm>
                      <a:off x="0" y="0"/>
                      <a:ext cx="321945" cy="321945"/>
                    </a:xfrm>
                    <a:prstGeom prst="rect">
                      <a:avLst/>
                    </a:prstGeom>
                    <a:ln/>
                  </pic:spPr>
                </pic:pic>
              </a:graphicData>
            </a:graphic>
          </wp:inline>
        </w:drawing>
      </w:r>
      <w:r>
        <w:rPr>
          <w:rFonts w:ascii="Helvetica Neue" w:eastAsia="Helvetica Neue" w:hAnsi="Helvetica Neue" w:cs="Helvetica Neue"/>
          <w:b/>
          <w:i/>
          <w:sz w:val="19"/>
          <w:szCs w:val="19"/>
        </w:rPr>
        <w:t xml:space="preserve">  </w:t>
      </w:r>
      <w:r>
        <w:rPr>
          <w:rFonts w:ascii="Helvetica Neue" w:eastAsia="Helvetica Neue" w:hAnsi="Helvetica Neue" w:cs="Helvetica Neue"/>
          <w:b/>
          <w:i/>
          <w:noProof/>
          <w:sz w:val="19"/>
          <w:szCs w:val="19"/>
        </w:rPr>
        <w:drawing>
          <wp:inline distT="0" distB="0" distL="0" distR="0" wp14:anchorId="3D2EC93C" wp14:editId="7B5B2810">
            <wp:extent cx="321945" cy="321945"/>
            <wp:effectExtent l="0" t="0" r="0" b="0"/>
            <wp:docPr id="41" name="image4.png" descr="Instagram_App_Large_May2016_200">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41" name="image4.png" descr="Instagram_App_Large_May2016_200">
                      <a:hlinkClick r:id="rId14"/>
                    </pic:cNvPr>
                    <pic:cNvPicPr preferRelativeResize="0"/>
                  </pic:nvPicPr>
                  <pic:blipFill>
                    <a:blip r:embed="rId15"/>
                    <a:srcRect/>
                    <a:stretch>
                      <a:fillRect/>
                    </a:stretch>
                  </pic:blipFill>
                  <pic:spPr>
                    <a:xfrm>
                      <a:off x="0" y="0"/>
                      <a:ext cx="321945" cy="321945"/>
                    </a:xfrm>
                    <a:prstGeom prst="rect">
                      <a:avLst/>
                    </a:prstGeom>
                    <a:ln/>
                  </pic:spPr>
                </pic:pic>
              </a:graphicData>
            </a:graphic>
          </wp:inline>
        </w:drawing>
      </w:r>
      <w:r>
        <w:rPr>
          <w:rFonts w:ascii="Helvetica Neue" w:eastAsia="Helvetica Neue" w:hAnsi="Helvetica Neue" w:cs="Helvetica Neue"/>
          <w:b/>
          <w:i/>
          <w:sz w:val="19"/>
          <w:szCs w:val="19"/>
        </w:rPr>
        <w:t xml:space="preserve"> </w:t>
      </w:r>
      <w:r>
        <w:rPr>
          <w:rFonts w:ascii="Helvetica Neue" w:eastAsia="Helvetica Neue" w:hAnsi="Helvetica Neue" w:cs="Helvetica Neue"/>
          <w:b/>
          <w:i/>
          <w:noProof/>
          <w:sz w:val="19"/>
          <w:szCs w:val="19"/>
        </w:rPr>
        <w:drawing>
          <wp:inline distT="0" distB="0" distL="0" distR="0" wp14:anchorId="395EBF10" wp14:editId="42A2D1E5">
            <wp:extent cx="321945" cy="321945"/>
            <wp:effectExtent l="0" t="0" r="0" b="0"/>
            <wp:docPr id="43" name="image2.png" descr="youtube">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3" name="image2.png" descr="youtube">
                      <a:hlinkClick r:id="rId16"/>
                    </pic:cNvPr>
                    <pic:cNvPicPr preferRelativeResize="0"/>
                  </pic:nvPicPr>
                  <pic:blipFill>
                    <a:blip r:embed="rId17"/>
                    <a:srcRect/>
                    <a:stretch>
                      <a:fillRect/>
                    </a:stretch>
                  </pic:blipFill>
                  <pic:spPr>
                    <a:xfrm>
                      <a:off x="0" y="0"/>
                      <a:ext cx="321945" cy="321945"/>
                    </a:xfrm>
                    <a:prstGeom prst="rect">
                      <a:avLst/>
                    </a:prstGeom>
                    <a:ln/>
                  </pic:spPr>
                </pic:pic>
              </a:graphicData>
            </a:graphic>
          </wp:inline>
        </w:drawing>
      </w:r>
    </w:p>
    <w:p w14:paraId="349757FD" w14:textId="77777777" w:rsidR="00892BE3" w:rsidRDefault="00892BE3" w:rsidP="00892BE3">
      <w:pPr>
        <w:pStyle w:val="Footer"/>
        <w:spacing w:after="0" w:line="240" w:lineRule="auto"/>
        <w:ind w:leftChars="0" w:left="0" w:firstLineChars="0" w:firstLine="0"/>
        <w:rPr>
          <w:rStyle w:val="Strong"/>
          <w:rFonts w:ascii="Helvetica" w:hAnsi="Helvetica"/>
          <w:i/>
          <w:sz w:val="16"/>
          <w:szCs w:val="16"/>
        </w:rPr>
      </w:pPr>
    </w:p>
    <w:p w14:paraId="21265BFD" w14:textId="77777777" w:rsidR="00CB4741" w:rsidRPr="00D807A0" w:rsidRDefault="00CB4741" w:rsidP="00CB4741">
      <w:pPr>
        <w:pStyle w:val="Footer"/>
        <w:spacing w:after="0" w:line="240" w:lineRule="auto"/>
        <w:ind w:leftChars="0" w:left="0" w:firstLineChars="0" w:firstLine="0"/>
        <w:rPr>
          <w:rFonts w:ascii="Helvetica" w:hAnsi="Helvetica"/>
          <w:sz w:val="18"/>
          <w:szCs w:val="18"/>
        </w:rPr>
      </w:pPr>
      <w:r w:rsidRPr="00D807A0">
        <w:rPr>
          <w:rStyle w:val="Strong"/>
          <w:rFonts w:ascii="Helvetica" w:hAnsi="Helvetica"/>
          <w:i/>
          <w:sz w:val="18"/>
          <w:szCs w:val="18"/>
        </w:rPr>
        <w:t xml:space="preserve">Editor’s Note: For downloadable hi-res images and press releases, visit our online </w:t>
      </w:r>
      <w:hyperlink r:id="rId18" w:history="1">
        <w:r w:rsidRPr="00D807A0">
          <w:rPr>
            <w:rStyle w:val="Hyperlink"/>
            <w:rFonts w:ascii="Helvetica" w:hAnsi="Helvetica"/>
            <w:i/>
            <w:sz w:val="18"/>
            <w:szCs w:val="18"/>
          </w:rPr>
          <w:t>Press Room</w:t>
        </w:r>
      </w:hyperlink>
      <w:r w:rsidRPr="00D807A0">
        <w:rPr>
          <w:rStyle w:val="Strong"/>
          <w:rFonts w:ascii="Helvetica" w:hAnsi="Helvetica"/>
          <w:i/>
          <w:sz w:val="18"/>
          <w:szCs w:val="18"/>
        </w:rPr>
        <w:t>.</w:t>
      </w:r>
    </w:p>
    <w:p w14:paraId="42B47CD9" w14:textId="77777777" w:rsidR="00CB4741" w:rsidRDefault="00CB4741" w:rsidP="00892BE3">
      <w:pPr>
        <w:pStyle w:val="Footer"/>
        <w:spacing w:after="0" w:line="240" w:lineRule="auto"/>
        <w:ind w:leftChars="0" w:left="0" w:firstLineChars="0" w:firstLine="0"/>
        <w:rPr>
          <w:rStyle w:val="Strong"/>
          <w:rFonts w:ascii="Helvetica" w:hAnsi="Helvetica"/>
          <w:i/>
          <w:sz w:val="16"/>
          <w:szCs w:val="16"/>
        </w:rPr>
      </w:pPr>
    </w:p>
    <w:p w14:paraId="6CB76317" w14:textId="00748B8D" w:rsidR="00CB4741" w:rsidRPr="00CB4741" w:rsidRDefault="00CB4741" w:rsidP="002A1307">
      <w:pPr>
        <w:tabs>
          <w:tab w:val="left" w:pos="4758"/>
        </w:tabs>
        <w:ind w:leftChars="0" w:left="0" w:firstLineChars="0" w:firstLine="0"/>
      </w:pPr>
    </w:p>
    <w:sectPr w:rsidR="00CB4741" w:rsidRPr="00CB4741" w:rsidSect="002914BA">
      <w:headerReference w:type="even" r:id="rId19"/>
      <w:headerReference w:type="default" r:id="rId20"/>
      <w:footerReference w:type="even" r:id="rId21"/>
      <w:footerReference w:type="default" r:id="rId22"/>
      <w:headerReference w:type="first" r:id="rId23"/>
      <w:footerReference w:type="first" r:id="rId24"/>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DF06" w14:textId="77777777" w:rsidR="003B4C4B" w:rsidRDefault="003B4C4B">
      <w:pPr>
        <w:spacing w:after="0" w:line="240" w:lineRule="auto"/>
        <w:ind w:left="0" w:hanging="2"/>
      </w:pPr>
      <w:r>
        <w:separator/>
      </w:r>
    </w:p>
  </w:endnote>
  <w:endnote w:type="continuationSeparator" w:id="0">
    <w:p w14:paraId="10F4BD71" w14:textId="77777777" w:rsidR="003B4C4B" w:rsidRDefault="003B4C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7F6F" w14:textId="3DF463E9" w:rsidR="00913A43" w:rsidRDefault="00913A43" w:rsidP="00913A43">
    <w:pPr>
      <w:spacing w:after="0" w:line="240" w:lineRule="auto"/>
      <w:ind w:left="0" w:right="90" w:hanging="2"/>
      <w:rPr>
        <w:rStyle w:val="Strong"/>
        <w:rFonts w:ascii="Helvetica" w:hAnsi="Helvetica"/>
        <w:i/>
        <w:sz w:val="16"/>
        <w:szCs w:val="16"/>
      </w:rPr>
    </w:pPr>
  </w:p>
  <w:p w14:paraId="3828B474" w14:textId="77777777" w:rsidR="00D807A0" w:rsidRPr="00D807A0" w:rsidRDefault="00D807A0" w:rsidP="00D807A0">
    <w:pPr>
      <w:pStyle w:val="Footer"/>
      <w:spacing w:after="0" w:line="240" w:lineRule="auto"/>
      <w:ind w:leftChars="0" w:left="0" w:firstLineChars="0" w:firstLine="0"/>
      <w:jc w:val="center"/>
      <w:rPr>
        <w:rStyle w:val="Strong"/>
        <w:rFonts w:ascii="Helvetica" w:hAnsi="Helvetica"/>
        <w:i/>
        <w:sz w:val="18"/>
        <w:szCs w:val="18"/>
      </w:rPr>
    </w:pPr>
  </w:p>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E8909" w14:textId="77777777" w:rsidR="003B4C4B" w:rsidRDefault="003B4C4B">
      <w:pPr>
        <w:spacing w:after="0" w:line="240" w:lineRule="auto"/>
        <w:ind w:left="0" w:hanging="2"/>
      </w:pPr>
      <w:r>
        <w:separator/>
      </w:r>
    </w:p>
  </w:footnote>
  <w:footnote w:type="continuationSeparator" w:id="0">
    <w:p w14:paraId="0838FDBB" w14:textId="77777777" w:rsidR="003B4C4B" w:rsidRDefault="003B4C4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7E7E"/>
    <w:rsid w:val="000208AD"/>
    <w:rsid w:val="00022368"/>
    <w:rsid w:val="00041612"/>
    <w:rsid w:val="00054129"/>
    <w:rsid w:val="00057F89"/>
    <w:rsid w:val="000825DB"/>
    <w:rsid w:val="00082F96"/>
    <w:rsid w:val="0009604E"/>
    <w:rsid w:val="000B4C08"/>
    <w:rsid w:val="000C7584"/>
    <w:rsid w:val="000D0FFC"/>
    <w:rsid w:val="000F5EB6"/>
    <w:rsid w:val="000F7508"/>
    <w:rsid w:val="001072BB"/>
    <w:rsid w:val="00115299"/>
    <w:rsid w:val="00126AFA"/>
    <w:rsid w:val="001367C9"/>
    <w:rsid w:val="00140457"/>
    <w:rsid w:val="001458EB"/>
    <w:rsid w:val="00177338"/>
    <w:rsid w:val="00191AD2"/>
    <w:rsid w:val="0019375B"/>
    <w:rsid w:val="001A568D"/>
    <w:rsid w:val="001C3A22"/>
    <w:rsid w:val="001F1975"/>
    <w:rsid w:val="001F2106"/>
    <w:rsid w:val="00204A3D"/>
    <w:rsid w:val="00241C33"/>
    <w:rsid w:val="00241F20"/>
    <w:rsid w:val="00263DDA"/>
    <w:rsid w:val="00271B43"/>
    <w:rsid w:val="002734E5"/>
    <w:rsid w:val="0028382B"/>
    <w:rsid w:val="00284E6A"/>
    <w:rsid w:val="002914BA"/>
    <w:rsid w:val="002973EA"/>
    <w:rsid w:val="002A1307"/>
    <w:rsid w:val="002D0E8A"/>
    <w:rsid w:val="002D337F"/>
    <w:rsid w:val="002D68F6"/>
    <w:rsid w:val="002F271E"/>
    <w:rsid w:val="002F32DB"/>
    <w:rsid w:val="002F7654"/>
    <w:rsid w:val="003573DE"/>
    <w:rsid w:val="00376118"/>
    <w:rsid w:val="00386C9D"/>
    <w:rsid w:val="00387EF0"/>
    <w:rsid w:val="00390EE6"/>
    <w:rsid w:val="003911A2"/>
    <w:rsid w:val="003A178D"/>
    <w:rsid w:val="003A1838"/>
    <w:rsid w:val="003B4C4B"/>
    <w:rsid w:val="003B52BB"/>
    <w:rsid w:val="003B5629"/>
    <w:rsid w:val="003D0F6F"/>
    <w:rsid w:val="004003C7"/>
    <w:rsid w:val="00413DA1"/>
    <w:rsid w:val="00445AEA"/>
    <w:rsid w:val="00446850"/>
    <w:rsid w:val="004504CC"/>
    <w:rsid w:val="004621AA"/>
    <w:rsid w:val="0048482C"/>
    <w:rsid w:val="00494E79"/>
    <w:rsid w:val="004955C4"/>
    <w:rsid w:val="00495716"/>
    <w:rsid w:val="004D7AC2"/>
    <w:rsid w:val="004E75BC"/>
    <w:rsid w:val="0051143A"/>
    <w:rsid w:val="005205E6"/>
    <w:rsid w:val="00520B7B"/>
    <w:rsid w:val="00542699"/>
    <w:rsid w:val="005531EE"/>
    <w:rsid w:val="0056202D"/>
    <w:rsid w:val="0057456C"/>
    <w:rsid w:val="0059362B"/>
    <w:rsid w:val="00597759"/>
    <w:rsid w:val="005C7DAB"/>
    <w:rsid w:val="005D0AFA"/>
    <w:rsid w:val="005D6658"/>
    <w:rsid w:val="005E026C"/>
    <w:rsid w:val="005E48DF"/>
    <w:rsid w:val="00606DE0"/>
    <w:rsid w:val="00640E36"/>
    <w:rsid w:val="0064279A"/>
    <w:rsid w:val="00661048"/>
    <w:rsid w:val="00671172"/>
    <w:rsid w:val="006B7534"/>
    <w:rsid w:val="006D6F7B"/>
    <w:rsid w:val="006D7AC5"/>
    <w:rsid w:val="006E015E"/>
    <w:rsid w:val="006F31C2"/>
    <w:rsid w:val="007028A1"/>
    <w:rsid w:val="0070315A"/>
    <w:rsid w:val="00704D6C"/>
    <w:rsid w:val="00712FE8"/>
    <w:rsid w:val="00761B11"/>
    <w:rsid w:val="00770168"/>
    <w:rsid w:val="007A36DF"/>
    <w:rsid w:val="007A3737"/>
    <w:rsid w:val="007A552E"/>
    <w:rsid w:val="007A66CC"/>
    <w:rsid w:val="007B50DA"/>
    <w:rsid w:val="007D5559"/>
    <w:rsid w:val="007D6B0F"/>
    <w:rsid w:val="007F650A"/>
    <w:rsid w:val="0083626F"/>
    <w:rsid w:val="00837D0E"/>
    <w:rsid w:val="008416AF"/>
    <w:rsid w:val="00845B4A"/>
    <w:rsid w:val="0085534A"/>
    <w:rsid w:val="00890A45"/>
    <w:rsid w:val="00892BE3"/>
    <w:rsid w:val="008A15BD"/>
    <w:rsid w:val="008A5711"/>
    <w:rsid w:val="008C6016"/>
    <w:rsid w:val="008C60EC"/>
    <w:rsid w:val="008E48D6"/>
    <w:rsid w:val="00913A43"/>
    <w:rsid w:val="00943D97"/>
    <w:rsid w:val="0094635F"/>
    <w:rsid w:val="00974422"/>
    <w:rsid w:val="00980DC5"/>
    <w:rsid w:val="0099716A"/>
    <w:rsid w:val="009A10D0"/>
    <w:rsid w:val="009A594D"/>
    <w:rsid w:val="009B4B54"/>
    <w:rsid w:val="009C29C4"/>
    <w:rsid w:val="009D5A0F"/>
    <w:rsid w:val="009E20BB"/>
    <w:rsid w:val="009F0812"/>
    <w:rsid w:val="00A060BA"/>
    <w:rsid w:val="00A1217B"/>
    <w:rsid w:val="00A20331"/>
    <w:rsid w:val="00A20B7F"/>
    <w:rsid w:val="00A30CBE"/>
    <w:rsid w:val="00A36F25"/>
    <w:rsid w:val="00A4146F"/>
    <w:rsid w:val="00A45D7C"/>
    <w:rsid w:val="00A532EE"/>
    <w:rsid w:val="00AA4230"/>
    <w:rsid w:val="00AD1B4C"/>
    <w:rsid w:val="00AD6E37"/>
    <w:rsid w:val="00AE718F"/>
    <w:rsid w:val="00B306DA"/>
    <w:rsid w:val="00B52A6B"/>
    <w:rsid w:val="00B70042"/>
    <w:rsid w:val="00BD2126"/>
    <w:rsid w:val="00BD2E75"/>
    <w:rsid w:val="00BD481B"/>
    <w:rsid w:val="00C131E3"/>
    <w:rsid w:val="00C14C2E"/>
    <w:rsid w:val="00C349F6"/>
    <w:rsid w:val="00C57D5E"/>
    <w:rsid w:val="00C606B3"/>
    <w:rsid w:val="00C66C73"/>
    <w:rsid w:val="00C6717B"/>
    <w:rsid w:val="00C74F5E"/>
    <w:rsid w:val="00C768A1"/>
    <w:rsid w:val="00C77F1D"/>
    <w:rsid w:val="00C815EF"/>
    <w:rsid w:val="00C85690"/>
    <w:rsid w:val="00C90CBD"/>
    <w:rsid w:val="00C912F4"/>
    <w:rsid w:val="00CA75E4"/>
    <w:rsid w:val="00CB4741"/>
    <w:rsid w:val="00CC0A58"/>
    <w:rsid w:val="00CC3FC6"/>
    <w:rsid w:val="00CD2092"/>
    <w:rsid w:val="00CD4603"/>
    <w:rsid w:val="00CD765C"/>
    <w:rsid w:val="00CE69FC"/>
    <w:rsid w:val="00D45783"/>
    <w:rsid w:val="00D55977"/>
    <w:rsid w:val="00D57B3C"/>
    <w:rsid w:val="00D807A0"/>
    <w:rsid w:val="00D93AA4"/>
    <w:rsid w:val="00DA57A3"/>
    <w:rsid w:val="00DB12D3"/>
    <w:rsid w:val="00DC10F3"/>
    <w:rsid w:val="00DD2783"/>
    <w:rsid w:val="00DF2030"/>
    <w:rsid w:val="00E0117F"/>
    <w:rsid w:val="00E01B5D"/>
    <w:rsid w:val="00E14666"/>
    <w:rsid w:val="00E232F8"/>
    <w:rsid w:val="00E26DA1"/>
    <w:rsid w:val="00E50059"/>
    <w:rsid w:val="00E51C12"/>
    <w:rsid w:val="00E52BA6"/>
    <w:rsid w:val="00E82EB6"/>
    <w:rsid w:val="00EA7E98"/>
    <w:rsid w:val="00EB3538"/>
    <w:rsid w:val="00EE1194"/>
    <w:rsid w:val="00EE6756"/>
    <w:rsid w:val="00EF28D7"/>
    <w:rsid w:val="00F06EB0"/>
    <w:rsid w:val="00F0715A"/>
    <w:rsid w:val="00F477EC"/>
    <w:rsid w:val="00F56AB4"/>
    <w:rsid w:val="00F57806"/>
    <w:rsid w:val="00F67EE7"/>
    <w:rsid w:val="00F71D92"/>
    <w:rsid w:val="00F76CE0"/>
    <w:rsid w:val="00F811FD"/>
    <w:rsid w:val="00F905D0"/>
    <w:rsid w:val="00FB1B5D"/>
    <w:rsid w:val="00FC06AB"/>
    <w:rsid w:val="00FC40B2"/>
    <w:rsid w:val="00FD1F97"/>
    <w:rsid w:val="00FE5E7B"/>
    <w:rsid w:val="00FE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FE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 w:id="123458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full-throttlecommunication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dickinsonarm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hannel/UCeTqnDQhJIMeYCD-AT2zt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kinsonarms.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www.dickinsonarms.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ckinsonarms.com/" TargetMode="External"/><Relationship Id="rId14" Type="http://schemas.openxmlformats.org/officeDocument/2006/relationships/hyperlink" Target="https://www.instagram.com/dickinsonarm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2024-11-14T18:56:00Z</dcterms:created>
  <dcterms:modified xsi:type="dcterms:W3CDTF">2024-11-14T18:56:00Z</dcterms:modified>
</cp:coreProperties>
</file>