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D6B7" w14:textId="77777777" w:rsidR="00DF746D" w:rsidRPr="007F2818" w:rsidRDefault="00DF746D" w:rsidP="00DF746D">
      <w:pPr>
        <w:pStyle w:val="BearPR04"/>
        <w:spacing w:line="240" w:lineRule="auto"/>
        <w:jc w:val="center"/>
        <w:rPr>
          <w:rFonts w:eastAsia="Times"/>
          <w:b/>
          <w:sz w:val="12"/>
          <w:szCs w:val="12"/>
        </w:rPr>
      </w:pPr>
    </w:p>
    <w:p w14:paraId="2ED11DA6" w14:textId="77777777" w:rsidR="000D504B" w:rsidRPr="007F2818" w:rsidRDefault="00DF746D" w:rsidP="00DF746D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 w:rsidRPr="007F2818">
        <w:rPr>
          <w:rFonts w:eastAsia="Times"/>
          <w:b/>
          <w:sz w:val="22"/>
          <w:szCs w:val="22"/>
        </w:rPr>
        <w:t>WILEY X</w:t>
      </w:r>
      <w:r w:rsidRPr="007F2818">
        <w:rPr>
          <w:rFonts w:eastAsia="Times"/>
          <w:b/>
          <w:sz w:val="22"/>
          <w:szCs w:val="22"/>
          <w:vertAlign w:val="superscript"/>
        </w:rPr>
        <w:t>®</w:t>
      </w:r>
      <w:r w:rsidR="00EE1808" w:rsidRPr="007F2818">
        <w:rPr>
          <w:rFonts w:eastAsia="Times"/>
          <w:b/>
          <w:sz w:val="22"/>
          <w:szCs w:val="22"/>
        </w:rPr>
        <w:t xml:space="preserve"> GETS BEHIND EDUCATIONAL EFFORTS OF WORKPLACE EYE WELLNESS MONTH</w:t>
      </w:r>
      <w:r w:rsidR="000D504B" w:rsidRPr="007F2818">
        <w:rPr>
          <w:rFonts w:eastAsia="Times"/>
          <w:b/>
          <w:sz w:val="22"/>
          <w:szCs w:val="22"/>
        </w:rPr>
        <w:t>,</w:t>
      </w:r>
    </w:p>
    <w:p w14:paraId="276B23D3" w14:textId="77777777" w:rsidR="00DF746D" w:rsidRPr="007F2818" w:rsidRDefault="000D504B" w:rsidP="00DF746D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 w:rsidRPr="007F2818">
        <w:rPr>
          <w:rFonts w:eastAsia="Times"/>
          <w:b/>
          <w:sz w:val="22"/>
          <w:szCs w:val="22"/>
        </w:rPr>
        <w:t>OFFERS ITS INNOVATIVE NEW WORKSIGHT™ LINE FOR WORK AND LEISURE WEAR</w:t>
      </w:r>
    </w:p>
    <w:p w14:paraId="544A2A2C" w14:textId="77777777" w:rsidR="00DF746D" w:rsidRPr="007F2818" w:rsidRDefault="00DF746D" w:rsidP="00DF746D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</w:p>
    <w:p w14:paraId="3C40AFA1" w14:textId="77777777" w:rsidR="00EE1808" w:rsidRPr="007F2818" w:rsidRDefault="00EE1808" w:rsidP="00EE1808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 w:rsidRPr="007F2818">
        <w:rPr>
          <w:rFonts w:eastAsia="Times"/>
          <w:b/>
          <w:sz w:val="22"/>
          <w:szCs w:val="22"/>
        </w:rPr>
        <w:t xml:space="preserve">March 2016 Campaign Seeks to Increase Focus on Awareness and Prevention of </w:t>
      </w:r>
    </w:p>
    <w:p w14:paraId="189E7E92" w14:textId="77777777" w:rsidR="00EE1808" w:rsidRPr="007F2818" w:rsidRDefault="00EE1808" w:rsidP="00EE1808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 w:rsidRPr="007F2818">
        <w:rPr>
          <w:rFonts w:eastAsia="Times"/>
          <w:b/>
          <w:sz w:val="22"/>
          <w:szCs w:val="22"/>
        </w:rPr>
        <w:t>On-The-Job Eye Injuries</w:t>
      </w:r>
    </w:p>
    <w:p w14:paraId="136A5AAB" w14:textId="77777777" w:rsidR="00EE1808" w:rsidRPr="007F2818" w:rsidRDefault="00EE1808" w:rsidP="00EE1808">
      <w:pPr>
        <w:pStyle w:val="BearPR04"/>
        <w:spacing w:line="240" w:lineRule="auto"/>
        <w:jc w:val="center"/>
        <w:rPr>
          <w:rFonts w:eastAsia="Times"/>
          <w:b/>
          <w:sz w:val="12"/>
          <w:szCs w:val="12"/>
        </w:rPr>
      </w:pPr>
    </w:p>
    <w:p w14:paraId="72250B5D" w14:textId="4CADBF14" w:rsidR="00162ADF" w:rsidRPr="007F2818" w:rsidRDefault="00EE1808" w:rsidP="00DF746D">
      <w:pPr>
        <w:pStyle w:val="BearPR04"/>
        <w:spacing w:line="240" w:lineRule="auto"/>
        <w:rPr>
          <w:rFonts w:eastAsia="Times"/>
        </w:rPr>
      </w:pPr>
      <w:r w:rsidRPr="007F2818">
        <w:rPr>
          <w:rFonts w:eastAsia="Times"/>
        </w:rPr>
        <w:t xml:space="preserve">According to the U.S. Bureau of Labor Statistics, there are more than 20,000 workplace eye injuries each year in America, often requiring one or </w:t>
      </w:r>
      <w:r w:rsidR="00162ADF" w:rsidRPr="007F2818">
        <w:rPr>
          <w:rFonts w:eastAsia="Times"/>
        </w:rPr>
        <w:t xml:space="preserve">more </w:t>
      </w:r>
      <w:r w:rsidRPr="007F2818">
        <w:rPr>
          <w:rFonts w:eastAsia="Times"/>
        </w:rPr>
        <w:t>m</w:t>
      </w:r>
      <w:r w:rsidR="00247551" w:rsidRPr="007F2818">
        <w:rPr>
          <w:rFonts w:eastAsia="Times"/>
        </w:rPr>
        <w:t xml:space="preserve">issed </w:t>
      </w:r>
      <w:r w:rsidR="005A3A8B" w:rsidRPr="007F2818">
        <w:rPr>
          <w:rFonts w:eastAsia="Times"/>
        </w:rPr>
        <w:t>workdays</w:t>
      </w:r>
      <w:r w:rsidR="00247551" w:rsidRPr="007F2818">
        <w:rPr>
          <w:rFonts w:eastAsia="Times"/>
        </w:rPr>
        <w:t xml:space="preserve"> for recovery.  Additionally, t</w:t>
      </w:r>
      <w:r w:rsidRPr="007F2818">
        <w:rPr>
          <w:rFonts w:eastAsia="Times"/>
        </w:rPr>
        <w:t xml:space="preserve">he Occupational Safety and </w:t>
      </w:r>
      <w:r w:rsidR="00247551" w:rsidRPr="007F2818">
        <w:rPr>
          <w:rFonts w:eastAsia="Times"/>
        </w:rPr>
        <w:t>Health Administration (OSHA)</w:t>
      </w:r>
      <w:r w:rsidR="009A5214" w:rsidRPr="007F2818">
        <w:rPr>
          <w:rFonts w:eastAsia="Times"/>
        </w:rPr>
        <w:t xml:space="preserve"> </w:t>
      </w:r>
      <w:r w:rsidR="00162ADF" w:rsidRPr="007F2818">
        <w:rPr>
          <w:rFonts w:eastAsia="Times"/>
        </w:rPr>
        <w:t>reports that workplace eye injuries cost an estimated $300 million annually in lost productivity and worker compensation.  These are pretty shocking statistics, especially when it is widely recognized that more than 90 percent of these in</w:t>
      </w:r>
      <w:r w:rsidR="00D0588F" w:rsidRPr="007F2818">
        <w:rPr>
          <w:rFonts w:eastAsia="Times"/>
        </w:rPr>
        <w:t>juries — and their related economic impacts</w:t>
      </w:r>
      <w:r w:rsidR="00162ADF" w:rsidRPr="007F2818">
        <w:rPr>
          <w:rFonts w:eastAsia="Times"/>
        </w:rPr>
        <w:t xml:space="preserve"> — could be avoided </w:t>
      </w:r>
      <w:r w:rsidR="00D0588F" w:rsidRPr="007F2818">
        <w:rPr>
          <w:rFonts w:eastAsia="Times"/>
        </w:rPr>
        <w:t>if more workers would simply wear</w:t>
      </w:r>
      <w:r w:rsidR="00162ADF" w:rsidRPr="007F2818">
        <w:rPr>
          <w:rFonts w:eastAsia="Times"/>
        </w:rPr>
        <w:t xml:space="preserve"> proper protective eyewear.</w:t>
      </w:r>
    </w:p>
    <w:p w14:paraId="1231E64D" w14:textId="77777777" w:rsidR="00162ADF" w:rsidRPr="007F2818" w:rsidRDefault="00162ADF" w:rsidP="00DF746D">
      <w:pPr>
        <w:pStyle w:val="BearPR04"/>
        <w:spacing w:line="240" w:lineRule="auto"/>
        <w:rPr>
          <w:rFonts w:eastAsia="Times"/>
        </w:rPr>
      </w:pPr>
    </w:p>
    <w:p w14:paraId="1F5CC0A9" w14:textId="77777777" w:rsidR="00884B5D" w:rsidRPr="007F2818" w:rsidRDefault="00AF5E4C" w:rsidP="00DF746D">
      <w:pPr>
        <w:pStyle w:val="BearPR04"/>
        <w:spacing w:line="240" w:lineRule="auto"/>
        <w:rPr>
          <w:rFonts w:eastAsia="Times"/>
        </w:rPr>
      </w:pPr>
      <w:r w:rsidRPr="007F2818">
        <w:rPr>
          <w:rFonts w:eastAsia="Times"/>
        </w:rPr>
        <w:t>Each year, the month of March is ded</w:t>
      </w:r>
      <w:r w:rsidR="008F3B08" w:rsidRPr="007F2818">
        <w:rPr>
          <w:rFonts w:eastAsia="Times"/>
        </w:rPr>
        <w:t xml:space="preserve">icated to raising </w:t>
      </w:r>
      <w:r w:rsidRPr="007F2818">
        <w:rPr>
          <w:rFonts w:eastAsia="Times"/>
        </w:rPr>
        <w:t xml:space="preserve">“visibility” of this issue </w:t>
      </w:r>
      <w:r w:rsidR="005325AB" w:rsidRPr="007F2818">
        <w:rPr>
          <w:rFonts w:eastAsia="Times"/>
        </w:rPr>
        <w:t>through Workpla</w:t>
      </w:r>
      <w:r w:rsidR="008F3B08" w:rsidRPr="007F2818">
        <w:rPr>
          <w:rFonts w:eastAsia="Times"/>
        </w:rPr>
        <w:t>ce Eye Wellness Month, an awareness and educational campaign</w:t>
      </w:r>
      <w:r w:rsidR="005325AB" w:rsidRPr="007F2818">
        <w:rPr>
          <w:rFonts w:eastAsia="Times"/>
        </w:rPr>
        <w:t xml:space="preserve"> </w:t>
      </w:r>
      <w:r w:rsidR="00C03864" w:rsidRPr="007F2818">
        <w:rPr>
          <w:rFonts w:eastAsia="Times"/>
        </w:rPr>
        <w:t xml:space="preserve">of </w:t>
      </w:r>
      <w:r w:rsidR="00D0588F" w:rsidRPr="007F2818">
        <w:rPr>
          <w:rFonts w:eastAsia="Times"/>
        </w:rPr>
        <w:t xml:space="preserve">non-profit organization </w:t>
      </w:r>
      <w:r w:rsidR="00C03864" w:rsidRPr="007F2818">
        <w:rPr>
          <w:rFonts w:eastAsia="Times"/>
        </w:rPr>
        <w:t xml:space="preserve">Prevent Blindness.  </w:t>
      </w:r>
      <w:r w:rsidR="000D504B" w:rsidRPr="007F2818">
        <w:rPr>
          <w:rFonts w:eastAsia="Times"/>
        </w:rPr>
        <w:t xml:space="preserve">As an innovator of </w:t>
      </w:r>
      <w:r w:rsidR="000957BB" w:rsidRPr="007F2818">
        <w:rPr>
          <w:rFonts w:eastAsia="Times"/>
        </w:rPr>
        <w:t xml:space="preserve">protective eyewear products for U.S. </w:t>
      </w:r>
      <w:r w:rsidR="00343DA7">
        <w:rPr>
          <w:rFonts w:eastAsia="Times"/>
        </w:rPr>
        <w:t xml:space="preserve">workers, </w:t>
      </w:r>
      <w:r w:rsidR="000957BB" w:rsidRPr="007F2818">
        <w:rPr>
          <w:rFonts w:eastAsia="Times"/>
        </w:rPr>
        <w:t>soldiers, law enforcement, top NASCAR drivers, professional bass anglers and others who work and play in demanding conditions, Wiley X</w:t>
      </w:r>
      <w:r w:rsidR="000957BB" w:rsidRPr="007F2818">
        <w:rPr>
          <w:rFonts w:eastAsia="Times"/>
          <w:vertAlign w:val="superscript"/>
        </w:rPr>
        <w:t>®</w:t>
      </w:r>
      <w:r w:rsidR="000957BB" w:rsidRPr="007F2818">
        <w:rPr>
          <w:rFonts w:eastAsia="Times"/>
        </w:rPr>
        <w:t>, Inc. is a long-time supporter of Workplace Eye Wellness Month.</w:t>
      </w:r>
    </w:p>
    <w:p w14:paraId="4457DF12" w14:textId="77777777" w:rsidR="00884B5D" w:rsidRPr="007F2818" w:rsidRDefault="00884B5D" w:rsidP="00DF746D">
      <w:pPr>
        <w:pStyle w:val="BearPR04"/>
        <w:spacing w:line="240" w:lineRule="auto"/>
        <w:rPr>
          <w:rFonts w:eastAsia="Times"/>
        </w:rPr>
      </w:pPr>
    </w:p>
    <w:p w14:paraId="7A15A0E8" w14:textId="40884CBD" w:rsidR="0072548B" w:rsidRPr="007F2818" w:rsidRDefault="00884B5D" w:rsidP="00DF746D">
      <w:pPr>
        <w:pStyle w:val="BearPR04"/>
        <w:spacing w:line="240" w:lineRule="auto"/>
        <w:rPr>
          <w:rFonts w:eastAsia="Times"/>
        </w:rPr>
      </w:pPr>
      <w:r w:rsidRPr="007F2818">
        <w:rPr>
          <w:rFonts w:eastAsia="Times"/>
        </w:rPr>
        <w:t xml:space="preserve">“These statistics point out the immense financial burden workplace eye injuries place on American businesses each year,” said Wiley X Co-Owner Myles Freeman, Jr.  </w:t>
      </w:r>
      <w:r w:rsidR="003F2646" w:rsidRPr="007F2818">
        <w:rPr>
          <w:rFonts w:eastAsia="Times"/>
        </w:rPr>
        <w:t>“However, t</w:t>
      </w:r>
      <w:r w:rsidR="00AE2D99" w:rsidRPr="007F2818">
        <w:rPr>
          <w:rFonts w:eastAsia="Times"/>
        </w:rPr>
        <w:t xml:space="preserve">his is only part of the story.  On-the-job eye injuries can devastate </w:t>
      </w:r>
      <w:r w:rsidR="00AA4436" w:rsidRPr="007F2818">
        <w:rPr>
          <w:rFonts w:eastAsia="Times"/>
        </w:rPr>
        <w:t xml:space="preserve">personal </w:t>
      </w:r>
      <w:r w:rsidR="00AE2D99" w:rsidRPr="007F2818">
        <w:rPr>
          <w:rFonts w:eastAsia="Times"/>
        </w:rPr>
        <w:t xml:space="preserve">lives and families in ways far more important than money.  </w:t>
      </w:r>
      <w:r w:rsidR="00FD57D3" w:rsidRPr="007F2818">
        <w:rPr>
          <w:rFonts w:eastAsia="Times"/>
        </w:rPr>
        <w:t>We know that nine out of 10 serious eye injures cou</w:t>
      </w:r>
      <w:r w:rsidR="00AA4436" w:rsidRPr="007F2818">
        <w:rPr>
          <w:rFonts w:eastAsia="Times"/>
        </w:rPr>
        <w:t xml:space="preserve">ld be prevented by the simple act of </w:t>
      </w:r>
      <w:r w:rsidR="00C269E0" w:rsidRPr="007F2818">
        <w:rPr>
          <w:rFonts w:eastAsia="Times"/>
        </w:rPr>
        <w:t xml:space="preserve">wearing proper eye protection. </w:t>
      </w:r>
      <w:r w:rsidR="00AA4436" w:rsidRPr="007F2818">
        <w:rPr>
          <w:rFonts w:eastAsia="Times"/>
        </w:rPr>
        <w:t>Since one can never pred</w:t>
      </w:r>
      <w:r w:rsidR="00D0588F" w:rsidRPr="007F2818">
        <w:rPr>
          <w:rFonts w:eastAsia="Times"/>
        </w:rPr>
        <w:t>ict when and where an accident might</w:t>
      </w:r>
      <w:r w:rsidR="00D53ABF" w:rsidRPr="007F2818">
        <w:rPr>
          <w:rFonts w:eastAsia="Times"/>
        </w:rPr>
        <w:t xml:space="preserve"> occur, the key to preventing injuries</w:t>
      </w:r>
      <w:r w:rsidR="00AA4436" w:rsidRPr="007F2818">
        <w:rPr>
          <w:rFonts w:eastAsia="Times"/>
        </w:rPr>
        <w:t xml:space="preserve"> is wearing OSHA-rated eye protection </w:t>
      </w:r>
      <w:r w:rsidR="00AA4436" w:rsidRPr="007F2818">
        <w:rPr>
          <w:rFonts w:eastAsia="Times"/>
          <w:i/>
        </w:rPr>
        <w:t>all the time</w:t>
      </w:r>
      <w:r w:rsidR="00AA4436" w:rsidRPr="007F2818">
        <w:rPr>
          <w:rFonts w:eastAsia="Times"/>
        </w:rPr>
        <w:t>,” added Freeman.</w:t>
      </w:r>
    </w:p>
    <w:p w14:paraId="2ACAEFA6" w14:textId="77777777" w:rsidR="0072548B" w:rsidRPr="007F2818" w:rsidRDefault="0072548B" w:rsidP="00DF746D">
      <w:pPr>
        <w:pStyle w:val="BearPR04"/>
        <w:spacing w:line="240" w:lineRule="auto"/>
        <w:rPr>
          <w:rFonts w:eastAsia="Times"/>
        </w:rPr>
      </w:pPr>
    </w:p>
    <w:p w14:paraId="46588773" w14:textId="77777777" w:rsidR="00C35C01" w:rsidRPr="007F2818" w:rsidRDefault="0072548B" w:rsidP="00752E95">
      <w:pPr>
        <w:pStyle w:val="BearPR04"/>
        <w:spacing w:line="240" w:lineRule="auto"/>
        <w:rPr>
          <w:rFonts w:eastAsia="Times"/>
        </w:rPr>
      </w:pPr>
      <w:r w:rsidRPr="007F2818">
        <w:rPr>
          <w:rFonts w:eastAsia="Times"/>
        </w:rPr>
        <w:t xml:space="preserve">Wiley X recently expanded its full range of vision protection products </w:t>
      </w:r>
      <w:r w:rsidR="00752E95" w:rsidRPr="007F2818">
        <w:rPr>
          <w:rFonts w:eastAsia="Times"/>
        </w:rPr>
        <w:t xml:space="preserve">with its new </w:t>
      </w:r>
      <w:r w:rsidR="00343DA7">
        <w:rPr>
          <w:rFonts w:eastAsia="Times"/>
        </w:rPr>
        <w:t xml:space="preserve">Rx-ready </w:t>
      </w:r>
      <w:r w:rsidR="00752E95" w:rsidRPr="007F2818">
        <w:rPr>
          <w:rFonts w:eastAsia="Times"/>
        </w:rPr>
        <w:t>WorkSight™ eyewear collection for men and wome</w:t>
      </w:r>
      <w:r w:rsidR="00FF7DF5" w:rsidRPr="007F2818">
        <w:rPr>
          <w:rFonts w:eastAsia="Times"/>
        </w:rPr>
        <w:t>n.  WorkSight is a top-quality ophthalmic line with attractive colors and finishes that also doubles as a safety line with its clear ANSI Z87.1 r</w:t>
      </w:r>
      <w:r w:rsidR="00C269E0" w:rsidRPr="007F2818">
        <w:rPr>
          <w:rFonts w:eastAsia="Times"/>
        </w:rPr>
        <w:t xml:space="preserve">ated, removable side shields.  </w:t>
      </w:r>
      <w:r w:rsidR="00FF7DF5" w:rsidRPr="007F2818">
        <w:rPr>
          <w:rFonts w:eastAsia="Times"/>
        </w:rPr>
        <w:t>The result is a line of stylish dress frames that men and women would be proud to wear for any occasion</w:t>
      </w:r>
      <w:r w:rsidR="00C269E0" w:rsidRPr="007F2818">
        <w:rPr>
          <w:rFonts w:eastAsia="Times"/>
        </w:rPr>
        <w:t xml:space="preserve"> or activity. </w:t>
      </w:r>
      <w:r w:rsidR="00C35C01" w:rsidRPr="007F2818">
        <w:rPr>
          <w:rFonts w:eastAsia="Times"/>
        </w:rPr>
        <w:t>Yet, because these new glasses have removable side shields and meet stringent ANSI Z87.1 safety standards, they can be worn with confidence when on-the-job vision protection is needed.</w:t>
      </w:r>
      <w:r w:rsidR="00343DA7">
        <w:rPr>
          <w:rFonts w:eastAsia="Times"/>
        </w:rPr>
        <w:t xml:space="preserve">  The WorkSight line will also be available with side shields that permanently attach to the temples in the coming months.</w:t>
      </w:r>
    </w:p>
    <w:p w14:paraId="4D511FF1" w14:textId="77777777" w:rsidR="00C35C01" w:rsidRPr="007F2818" w:rsidRDefault="00C35C01" w:rsidP="00752E95">
      <w:pPr>
        <w:pStyle w:val="BearPR04"/>
        <w:spacing w:line="240" w:lineRule="auto"/>
        <w:rPr>
          <w:rFonts w:eastAsia="Times"/>
        </w:rPr>
      </w:pPr>
    </w:p>
    <w:p w14:paraId="5AC7EF71" w14:textId="47F4CCC5" w:rsidR="007F2818" w:rsidRDefault="00C35C01" w:rsidP="00752E95">
      <w:pPr>
        <w:pStyle w:val="BearPR04"/>
        <w:spacing w:line="240" w:lineRule="auto"/>
        <w:rPr>
          <w:rFonts w:eastAsia="Times"/>
        </w:rPr>
      </w:pPr>
      <w:r w:rsidRPr="007F2818">
        <w:rPr>
          <w:rFonts w:eastAsia="Times"/>
        </w:rPr>
        <w:t xml:space="preserve">“At Wiley X, we’ve always believed that making vision protection stylish and comfortable is the </w:t>
      </w:r>
      <w:r w:rsidR="009F4213" w:rsidRPr="007F2818">
        <w:rPr>
          <w:rFonts w:eastAsia="Times"/>
        </w:rPr>
        <w:t xml:space="preserve">key to minimizing risk. </w:t>
      </w:r>
      <w:r w:rsidRPr="007F2818">
        <w:rPr>
          <w:rFonts w:eastAsia="Times"/>
        </w:rPr>
        <w:t>This t</w:t>
      </w:r>
      <w:r w:rsidR="009F4213" w:rsidRPr="007F2818">
        <w:rPr>
          <w:rFonts w:eastAsia="Times"/>
        </w:rPr>
        <w:t>hinking is evident across our entire line of</w:t>
      </w:r>
      <w:r w:rsidRPr="007F2818">
        <w:rPr>
          <w:rFonts w:eastAsia="Times"/>
        </w:rPr>
        <w:t xml:space="preserve"> adult eyewear styles — every one of which meets ANSI safety standards.  Our new WorkSight Line takes this </w:t>
      </w:r>
      <w:r w:rsidR="009F4213" w:rsidRPr="007F2818">
        <w:rPr>
          <w:rFonts w:eastAsia="Times"/>
        </w:rPr>
        <w:t xml:space="preserve">concept </w:t>
      </w:r>
      <w:r w:rsidRPr="007F2818">
        <w:rPr>
          <w:rFonts w:eastAsia="Times"/>
        </w:rPr>
        <w:t>a step further, creating fashion frames that double as serious on-the-job vision protection,” added Freeman.</w:t>
      </w:r>
      <w:bookmarkStart w:id="0" w:name="_GoBack"/>
      <w:bookmarkEnd w:id="0"/>
    </w:p>
    <w:p w14:paraId="4339B4FE" w14:textId="77777777" w:rsidR="007F2818" w:rsidRPr="007F2818" w:rsidRDefault="007F2818" w:rsidP="00752E95">
      <w:pPr>
        <w:pStyle w:val="BearPR04"/>
        <w:spacing w:line="240" w:lineRule="auto"/>
        <w:rPr>
          <w:rFonts w:eastAsia="Times"/>
        </w:rPr>
      </w:pPr>
    </w:p>
    <w:p w14:paraId="17E1402E" w14:textId="77777777" w:rsidR="00AA4436" w:rsidRPr="007F2818" w:rsidRDefault="00C03864" w:rsidP="00752E95">
      <w:pPr>
        <w:pStyle w:val="BearPR04"/>
        <w:spacing w:line="240" w:lineRule="auto"/>
        <w:rPr>
          <w:rFonts w:eastAsia="Times"/>
        </w:rPr>
      </w:pPr>
      <w:r w:rsidRPr="007F2818">
        <w:rPr>
          <w:rFonts w:eastAsia="Times"/>
        </w:rPr>
        <w:t>In addition to providing workers with state-of</w:t>
      </w:r>
      <w:r w:rsidR="00260D32" w:rsidRPr="007F2818">
        <w:rPr>
          <w:rFonts w:eastAsia="Times"/>
        </w:rPr>
        <w:t>-the-art vision protection, almost all</w:t>
      </w:r>
      <w:r w:rsidRPr="007F2818">
        <w:rPr>
          <w:rFonts w:eastAsia="Times"/>
        </w:rPr>
        <w:t xml:space="preserve"> Wiley X eyewear styles are Rx-ready using the company’s advanced DIGIFORCE™ prescription lens technology for clear vision over the widest possible field of view. </w:t>
      </w:r>
    </w:p>
    <w:p w14:paraId="3767D843" w14:textId="77777777" w:rsidR="00AA4436" w:rsidRPr="007F2818" w:rsidRDefault="00AA4436" w:rsidP="00752E95">
      <w:pPr>
        <w:pStyle w:val="BearPR04"/>
        <w:spacing w:line="240" w:lineRule="auto"/>
        <w:rPr>
          <w:rFonts w:eastAsia="Times"/>
        </w:rPr>
      </w:pPr>
    </w:p>
    <w:p w14:paraId="25E05AFB" w14:textId="77777777" w:rsidR="00DF746D" w:rsidRPr="007F2818" w:rsidRDefault="00C03864" w:rsidP="00DF746D">
      <w:pPr>
        <w:pStyle w:val="BearPR04"/>
        <w:spacing w:line="240" w:lineRule="auto"/>
        <w:rPr>
          <w:rFonts w:eastAsia="Times"/>
        </w:rPr>
      </w:pPr>
      <w:r w:rsidRPr="007F2818">
        <w:rPr>
          <w:rFonts w:eastAsia="Times"/>
        </w:rPr>
        <w:t>To learn more about preventing workplace eye injuries, visit online Workplace Eye Wellness Month resources at Prevent Blindness (</w:t>
      </w:r>
      <w:hyperlink r:id="rId8" w:history="1">
        <w:r w:rsidRPr="007F2818">
          <w:rPr>
            <w:rStyle w:val="Hyperlink"/>
            <w:rFonts w:eastAsia="Times"/>
          </w:rPr>
          <w:t>www.preventblindness.org</w:t>
        </w:r>
      </w:hyperlink>
      <w:r w:rsidRPr="007F2818">
        <w:rPr>
          <w:rFonts w:eastAsia="Times"/>
        </w:rPr>
        <w:t>) or the American Academy of Ophthalmology (</w:t>
      </w:r>
      <w:hyperlink r:id="rId9" w:history="1">
        <w:r w:rsidRPr="007F2818">
          <w:rPr>
            <w:rStyle w:val="Hyperlink"/>
            <w:rFonts w:eastAsia="Times"/>
          </w:rPr>
          <w:t>www.aao.org/eye-health/tips-prevention/injuries-work</w:t>
        </w:r>
      </w:hyperlink>
      <w:r w:rsidRPr="007F2818">
        <w:rPr>
          <w:rFonts w:eastAsia="Times"/>
        </w:rPr>
        <w:t xml:space="preserve">). To learn more about the complete line of Wiley X eyewear styles offering Absolute Premium Protection, </w:t>
      </w:r>
      <w:r w:rsidR="00DF746D" w:rsidRPr="007F2818">
        <w:rPr>
          <w:rFonts w:eastAsia="Times"/>
        </w:rPr>
        <w:t xml:space="preserve">visit </w:t>
      </w:r>
      <w:hyperlink r:id="rId10" w:history="1">
        <w:r w:rsidR="00DF746D" w:rsidRPr="007F2818">
          <w:rPr>
            <w:rStyle w:val="Hyperlink"/>
            <w:rFonts w:eastAsia="Times"/>
          </w:rPr>
          <w:t>www.wileyx.com</w:t>
        </w:r>
      </w:hyperlink>
      <w:r w:rsidR="00DF746D" w:rsidRPr="007F2818">
        <w:rPr>
          <w:rFonts w:eastAsia="Times"/>
        </w:rPr>
        <w:t xml:space="preserve">.  Or contact Wiley X at 7800 Patterson Pass Road, Livermore, CA 94550 </w:t>
      </w:r>
      <w:r w:rsidR="00DF746D" w:rsidRPr="007F2818">
        <w:sym w:font="Symbol" w:char="F0B7"/>
      </w:r>
      <w:r w:rsidR="00DF746D" w:rsidRPr="007F2818">
        <w:t xml:space="preserve"> Telephone: (800) 776-7842. </w:t>
      </w:r>
    </w:p>
    <w:p w14:paraId="2B0F2474" w14:textId="77777777" w:rsidR="00B951ED" w:rsidRPr="007F2818" w:rsidRDefault="00B951ED" w:rsidP="00B951ED">
      <w:pPr>
        <w:pStyle w:val="BearPR04"/>
        <w:spacing w:line="240" w:lineRule="auto"/>
      </w:pPr>
    </w:p>
    <w:p w14:paraId="7EF644BD" w14:textId="77777777" w:rsidR="00B951ED" w:rsidRDefault="00B951ED" w:rsidP="00B951ED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1F9B1109" wp14:editId="1AE95805">
            <wp:extent cx="304800" cy="361950"/>
            <wp:effectExtent l="19050" t="0" r="0" b="0"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04E271D1" wp14:editId="7E3502AA">
            <wp:extent cx="304800" cy="361950"/>
            <wp:effectExtent l="19050" t="0" r="0" b="0"/>
            <wp:docPr id="5" name="Picture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52B4263F" wp14:editId="642C2DB4">
            <wp:extent cx="304800" cy="361950"/>
            <wp:effectExtent l="19050" t="0" r="0" b="0"/>
            <wp:docPr id="4" name="Pictur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0DE24509" wp14:editId="3C7F1A4D">
            <wp:extent cx="304800" cy="361950"/>
            <wp:effectExtent l="19050" t="0" r="0" b="0"/>
            <wp:docPr id="6" name="Picture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7320C001" wp14:editId="4A72E3DE">
            <wp:extent cx="304800" cy="361950"/>
            <wp:effectExtent l="19050" t="0" r="0" b="0"/>
            <wp:docPr id="7" name="Pictur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7F541" w14:textId="77777777" w:rsidR="00B951ED" w:rsidRPr="007F2818" w:rsidRDefault="00B951ED" w:rsidP="00DF746D">
      <w:pPr>
        <w:pStyle w:val="BearPR04"/>
        <w:spacing w:line="240" w:lineRule="auto"/>
        <w:ind w:right="-342"/>
      </w:pPr>
    </w:p>
    <w:p w14:paraId="54489C59" w14:textId="77777777" w:rsidR="00DF746D" w:rsidRDefault="00DF746D" w:rsidP="00DF746D">
      <w:pPr>
        <w:pStyle w:val="BearPR04"/>
        <w:spacing w:line="240" w:lineRule="auto"/>
        <w:ind w:right="-342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21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00A2E517" w14:textId="77777777" w:rsidR="00DF746D" w:rsidRDefault="0042402C" w:rsidP="00DF746D">
      <w:pPr>
        <w:pStyle w:val="BearPR04"/>
        <w:spacing w:line="240" w:lineRule="auto"/>
        <w:rPr>
          <w:rFonts w:eastAsia="Times"/>
          <w:b/>
          <w:i/>
          <w:sz w:val="18"/>
        </w:rPr>
      </w:pPr>
      <w:r>
        <w:rPr>
          <w:rFonts w:eastAsia="Times"/>
          <w:noProof/>
        </w:rPr>
        <w:drawing>
          <wp:anchor distT="0" distB="0" distL="114300" distR="114300" simplePos="0" relativeHeight="251656704" behindDoc="0" locked="0" layoutInCell="1" allowOverlap="1" wp14:anchorId="349C9F14" wp14:editId="778F9D86">
            <wp:simplePos x="0" y="0"/>
            <wp:positionH relativeFrom="column">
              <wp:posOffset>3590290</wp:posOffset>
            </wp:positionH>
            <wp:positionV relativeFrom="paragraph">
              <wp:posOffset>132715</wp:posOffset>
            </wp:positionV>
            <wp:extent cx="914400" cy="219075"/>
            <wp:effectExtent l="19050" t="0" r="0" b="0"/>
            <wp:wrapTight wrapText="bothSides">
              <wp:wrapPolygon edited="0">
                <wp:start x="-450" y="0"/>
                <wp:lineTo x="-450" y="20661"/>
                <wp:lineTo x="21600" y="20661"/>
                <wp:lineTo x="21600" y="0"/>
                <wp:lineTo x="-450" y="0"/>
              </wp:wrapPolygon>
            </wp:wrapTight>
            <wp:docPr id="8" name="Picture 2" descr="prou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udly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"/>
          <w:noProof/>
        </w:rPr>
        <w:drawing>
          <wp:anchor distT="0" distB="0" distL="114300" distR="114300" simplePos="0" relativeHeight="251657728" behindDoc="0" locked="0" layoutInCell="1" allowOverlap="1" wp14:anchorId="5B9B2706" wp14:editId="6A34E911">
            <wp:simplePos x="0" y="0"/>
            <wp:positionH relativeFrom="column">
              <wp:posOffset>2447290</wp:posOffset>
            </wp:positionH>
            <wp:positionV relativeFrom="paragraph">
              <wp:posOffset>111760</wp:posOffset>
            </wp:positionV>
            <wp:extent cx="685800" cy="331470"/>
            <wp:effectExtent l="19050" t="0" r="0" b="0"/>
            <wp:wrapTight wrapText="bothSides">
              <wp:wrapPolygon edited="0">
                <wp:start x="-600" y="0"/>
                <wp:lineTo x="-600" y="19862"/>
                <wp:lineTo x="21600" y="19862"/>
                <wp:lineTo x="21600" y="0"/>
                <wp:lineTo x="-600" y="0"/>
              </wp:wrapPolygon>
            </wp:wrapTight>
            <wp:docPr id="10" name="Picture 10" descr="ISO-9001_reg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SO-9001_reg_HR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746D" w:rsidSect="00DF746D">
      <w:headerReference w:type="first" r:id="rId24"/>
      <w:footerReference w:type="first" r:id="rId25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46911" w14:textId="77777777" w:rsidR="0066672F" w:rsidRDefault="0066672F">
      <w:r>
        <w:separator/>
      </w:r>
    </w:p>
  </w:endnote>
  <w:endnote w:type="continuationSeparator" w:id="0">
    <w:p w14:paraId="14B66FD1" w14:textId="77777777" w:rsidR="0066672F" w:rsidRDefault="0066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17D2" w14:textId="77777777" w:rsidR="0066672F" w:rsidRPr="007F2818" w:rsidRDefault="0066672F">
    <w:pPr>
      <w:pStyle w:val="Footer"/>
      <w:jc w:val="center"/>
      <w:rPr>
        <w:rFonts w:ascii="Helvetica" w:hAnsi="Helvetica"/>
        <w:i/>
        <w:sz w:val="18"/>
        <w:szCs w:val="18"/>
      </w:rPr>
    </w:pPr>
    <w:r w:rsidRPr="007F2818">
      <w:rPr>
        <w:rFonts w:ascii="Helvetica" w:hAnsi="Helvetica"/>
        <w:i/>
        <w:sz w:val="18"/>
        <w:szCs w:val="18"/>
      </w:rPr>
      <w:t>— Continued —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E33DB" w14:textId="77777777" w:rsidR="0066672F" w:rsidRDefault="0066672F">
      <w:r>
        <w:separator/>
      </w:r>
    </w:p>
  </w:footnote>
  <w:footnote w:type="continuationSeparator" w:id="0">
    <w:p w14:paraId="5C30956D" w14:textId="77777777" w:rsidR="0066672F" w:rsidRDefault="006667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449C2" w14:textId="77777777" w:rsidR="0066672F" w:rsidRPr="00B450A3" w:rsidRDefault="0066672F" w:rsidP="00DF746D">
    <w:pPr>
      <w:pStyle w:val="Header"/>
      <w:rPr>
        <w:sz w:val="16"/>
        <w:szCs w:val="16"/>
      </w:rPr>
    </w:pPr>
    <w:r>
      <w:rPr>
        <w:rFonts w:ascii="Eurostile" w:hAnsi="Eurostile"/>
        <w:b/>
        <w:noProof/>
        <w:sz w:val="68"/>
      </w:rPr>
      <w:drawing>
        <wp:inline distT="0" distB="0" distL="0" distR="0" wp14:anchorId="70EBF2B4" wp14:editId="26CADA9A">
          <wp:extent cx="6572250" cy="1409700"/>
          <wp:effectExtent l="19050" t="0" r="0" b="0"/>
          <wp:docPr id="1" name="Picture 1" descr="WX_Press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X_Press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AD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447A0"/>
    <w:rsid w:val="00055630"/>
    <w:rsid w:val="000957BB"/>
    <w:rsid w:val="000D504B"/>
    <w:rsid w:val="00131508"/>
    <w:rsid w:val="00162ADF"/>
    <w:rsid w:val="001943AC"/>
    <w:rsid w:val="00247551"/>
    <w:rsid w:val="00260D32"/>
    <w:rsid w:val="0029380D"/>
    <w:rsid w:val="002D210E"/>
    <w:rsid w:val="00343DA7"/>
    <w:rsid w:val="003E53B8"/>
    <w:rsid w:val="003F2646"/>
    <w:rsid w:val="0042402C"/>
    <w:rsid w:val="005325AB"/>
    <w:rsid w:val="00554332"/>
    <w:rsid w:val="005A3A8B"/>
    <w:rsid w:val="005F442E"/>
    <w:rsid w:val="0066672F"/>
    <w:rsid w:val="006F006F"/>
    <w:rsid w:val="0072548B"/>
    <w:rsid w:val="00743ABB"/>
    <w:rsid w:val="00752E95"/>
    <w:rsid w:val="00786796"/>
    <w:rsid w:val="00792C91"/>
    <w:rsid w:val="007F2818"/>
    <w:rsid w:val="0082037B"/>
    <w:rsid w:val="00834CF3"/>
    <w:rsid w:val="00884B5D"/>
    <w:rsid w:val="008F3B08"/>
    <w:rsid w:val="00922FEE"/>
    <w:rsid w:val="00974088"/>
    <w:rsid w:val="009A5214"/>
    <w:rsid w:val="009F4213"/>
    <w:rsid w:val="00AA32B8"/>
    <w:rsid w:val="00AA4436"/>
    <w:rsid w:val="00AE2D99"/>
    <w:rsid w:val="00AF5E4C"/>
    <w:rsid w:val="00B174AA"/>
    <w:rsid w:val="00B342C1"/>
    <w:rsid w:val="00B951ED"/>
    <w:rsid w:val="00C03864"/>
    <w:rsid w:val="00C269E0"/>
    <w:rsid w:val="00C35C01"/>
    <w:rsid w:val="00C5336B"/>
    <w:rsid w:val="00D0588F"/>
    <w:rsid w:val="00D2248C"/>
    <w:rsid w:val="00D30FE6"/>
    <w:rsid w:val="00D53ABF"/>
    <w:rsid w:val="00D628AE"/>
    <w:rsid w:val="00DF746D"/>
    <w:rsid w:val="00E1160C"/>
    <w:rsid w:val="00E63A89"/>
    <w:rsid w:val="00E96295"/>
    <w:rsid w:val="00EE1808"/>
    <w:rsid w:val="00F612B8"/>
    <w:rsid w:val="00FD57D3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A91B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3A8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63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3A89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E63A89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E63A89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E6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63A89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974088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3A8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63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3A89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E63A89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E63A89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E6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63A89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974088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ao.org/eye-health/tips-prevention/injuries-work" TargetMode="External"/><Relationship Id="rId20" Type="http://schemas.openxmlformats.org/officeDocument/2006/relationships/image" Target="media/image5.jpeg"/><Relationship Id="rId21" Type="http://schemas.openxmlformats.org/officeDocument/2006/relationships/hyperlink" Target="http://www.full-throttlecommunications.com" TargetMode="External"/><Relationship Id="rId22" Type="http://schemas.openxmlformats.org/officeDocument/2006/relationships/image" Target="media/image6.jpeg"/><Relationship Id="rId23" Type="http://schemas.openxmlformats.org/officeDocument/2006/relationships/image" Target="media/image7.jpe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wileyx.com" TargetMode="External"/><Relationship Id="rId11" Type="http://schemas.openxmlformats.org/officeDocument/2006/relationships/hyperlink" Target="https://www.facebook.com/wileyx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s://www.instagram.com/wileyx/" TargetMode="External"/><Relationship Id="rId14" Type="http://schemas.openxmlformats.org/officeDocument/2006/relationships/image" Target="media/image2.jpeg"/><Relationship Id="rId15" Type="http://schemas.openxmlformats.org/officeDocument/2006/relationships/hyperlink" Target="https://mobile.twitter.com/wileyx" TargetMode="External"/><Relationship Id="rId16" Type="http://schemas.openxmlformats.org/officeDocument/2006/relationships/image" Target="media/image3.jpeg"/><Relationship Id="rId17" Type="http://schemas.openxmlformats.org/officeDocument/2006/relationships/hyperlink" Target="https://www.youtube.com/user/wileyxeyewear" TargetMode="External"/><Relationship Id="rId18" Type="http://schemas.openxmlformats.org/officeDocument/2006/relationships/image" Target="media/image4.jpeg"/><Relationship Id="rId19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eventblind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4138</CharactersWithSpaces>
  <SharedDoc>false</SharedDoc>
  <HLinks>
    <vt:vector size="78" baseType="variant">
      <vt:variant>
        <vt:i4>7536738</vt:i4>
      </vt:variant>
      <vt:variant>
        <vt:i4>24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15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3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6138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786450</vt:i4>
      </vt:variant>
      <vt:variant>
        <vt:i4>-1</vt:i4>
      </vt:variant>
      <vt:variant>
        <vt:i4>1035</vt:i4>
      </vt:variant>
      <vt:variant>
        <vt:i4>1</vt:i4>
      </vt:variant>
      <vt:variant>
        <vt:lpwstr>Screen Shot 2015-12-30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Jamie Guerrero</cp:lastModifiedBy>
  <cp:revision>2</cp:revision>
  <cp:lastPrinted>2016-03-08T18:22:00Z</cp:lastPrinted>
  <dcterms:created xsi:type="dcterms:W3CDTF">2016-03-08T19:33:00Z</dcterms:created>
  <dcterms:modified xsi:type="dcterms:W3CDTF">2016-03-08T19:33:00Z</dcterms:modified>
</cp:coreProperties>
</file>