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17302" w14:textId="77777777" w:rsidR="000F2EB0" w:rsidRPr="00C237BC" w:rsidRDefault="000F2EB0" w:rsidP="00462DB3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2945C2EF" w14:textId="77777777" w:rsidR="004D6D64" w:rsidRDefault="00462DB3" w:rsidP="003337BA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 w:rsidR="000867CC">
        <w:rPr>
          <w:rFonts w:eastAsia="Times"/>
          <w:b/>
          <w:sz w:val="22"/>
        </w:rPr>
        <w:t xml:space="preserve"> </w:t>
      </w:r>
      <w:r w:rsidR="001D0036">
        <w:rPr>
          <w:rFonts w:eastAsia="Times"/>
          <w:b/>
          <w:sz w:val="22"/>
        </w:rPr>
        <w:t>SUPPORTS</w:t>
      </w:r>
      <w:r w:rsidR="00200CFC">
        <w:rPr>
          <w:rFonts w:eastAsia="Times"/>
          <w:b/>
          <w:sz w:val="22"/>
        </w:rPr>
        <w:t xml:space="preserve"> IMPORTANT CHILDRENS VISION AWARENESS CAMPAIGNS IN AUGUST</w:t>
      </w:r>
    </w:p>
    <w:p w14:paraId="74540EEE" w14:textId="77777777" w:rsidR="0008161B" w:rsidRPr="00744F59" w:rsidRDefault="0008161B" w:rsidP="0008161B">
      <w:pPr>
        <w:pStyle w:val="BearPR04"/>
        <w:spacing w:line="240" w:lineRule="auto"/>
        <w:jc w:val="center"/>
        <w:rPr>
          <w:rFonts w:eastAsia="Times"/>
          <w:b/>
          <w:sz w:val="18"/>
          <w:szCs w:val="18"/>
        </w:rPr>
      </w:pPr>
    </w:p>
    <w:p w14:paraId="57CDC4EF" w14:textId="77777777" w:rsidR="00036F2B" w:rsidRDefault="00C44009" w:rsidP="00C4400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As </w:t>
      </w:r>
      <w:r w:rsidR="00200CFC">
        <w:rPr>
          <w:rFonts w:eastAsia="Times"/>
          <w:b/>
          <w:sz w:val="22"/>
        </w:rPr>
        <w:t>Back to School</w:t>
      </w:r>
      <w:r>
        <w:rPr>
          <w:rFonts w:eastAsia="Times"/>
          <w:b/>
          <w:sz w:val="22"/>
        </w:rPr>
        <w:t xml:space="preserve"> Nears</w:t>
      </w:r>
      <w:r w:rsidR="00200CFC">
        <w:rPr>
          <w:rFonts w:eastAsia="Times"/>
          <w:b/>
          <w:sz w:val="22"/>
        </w:rPr>
        <w:t>, It’s More Important Than Ever to</w:t>
      </w:r>
      <w:r w:rsidR="00926E9D">
        <w:rPr>
          <w:rFonts w:eastAsia="Times"/>
          <w:b/>
          <w:sz w:val="22"/>
        </w:rPr>
        <w:t xml:space="preserve"> </w:t>
      </w:r>
      <w:r w:rsidR="00E20BD7">
        <w:rPr>
          <w:rFonts w:eastAsia="Times"/>
          <w:b/>
          <w:sz w:val="22"/>
        </w:rPr>
        <w:t>Focus on Eye Health and Safety, Including the Need to Protect All Kids, Not Just Those Who Wear Prescription Eyewear</w:t>
      </w:r>
    </w:p>
    <w:p w14:paraId="0C08E410" w14:textId="77777777" w:rsidR="000867CC" w:rsidRDefault="000867CC" w:rsidP="0068701B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4C21E81E" w14:textId="03FD17FB" w:rsidR="00D37F80" w:rsidRPr="00323818" w:rsidRDefault="00200CFC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 w:rsidRPr="00323818">
        <w:rPr>
          <w:rFonts w:eastAsia="Times"/>
          <w:sz w:val="18"/>
          <w:szCs w:val="18"/>
        </w:rPr>
        <w:t xml:space="preserve">Across America, millions of children are getting ready for the new school year, so it’s no coincidence </w:t>
      </w:r>
      <w:r w:rsidR="008C0071" w:rsidRPr="00323818">
        <w:rPr>
          <w:rFonts w:eastAsia="Times"/>
          <w:sz w:val="18"/>
          <w:szCs w:val="18"/>
        </w:rPr>
        <w:t>that two important campaigns</w:t>
      </w:r>
      <w:r w:rsidRPr="00323818">
        <w:rPr>
          <w:rFonts w:eastAsia="Times"/>
          <w:sz w:val="18"/>
          <w:szCs w:val="18"/>
        </w:rPr>
        <w:t xml:space="preserve"> choose August each year to shine a spotlight on the important topic of children’s vision.  And each year, premium </w:t>
      </w:r>
      <w:r w:rsidR="006B638B" w:rsidRPr="00323818">
        <w:rPr>
          <w:rFonts w:eastAsia="Times"/>
          <w:sz w:val="18"/>
          <w:szCs w:val="18"/>
        </w:rPr>
        <w:t xml:space="preserve">protective </w:t>
      </w:r>
      <w:r w:rsidRPr="00323818">
        <w:rPr>
          <w:rFonts w:eastAsia="Times"/>
          <w:sz w:val="18"/>
          <w:szCs w:val="18"/>
        </w:rPr>
        <w:t>sunglass manufacturer Wiley X</w:t>
      </w:r>
      <w:r w:rsidRPr="00323818">
        <w:rPr>
          <w:rFonts w:eastAsia="Times"/>
          <w:sz w:val="18"/>
          <w:szCs w:val="18"/>
          <w:vertAlign w:val="superscript"/>
        </w:rPr>
        <w:t>®</w:t>
      </w:r>
      <w:r w:rsidRPr="00323818">
        <w:rPr>
          <w:rFonts w:eastAsia="Times"/>
          <w:sz w:val="18"/>
          <w:szCs w:val="18"/>
        </w:rPr>
        <w:t xml:space="preserve"> does its part to help spread the message and raise awareness for the important issues of children’s vision he</w:t>
      </w:r>
      <w:r w:rsidR="008C0071" w:rsidRPr="00323818">
        <w:rPr>
          <w:rFonts w:eastAsia="Times"/>
          <w:sz w:val="18"/>
          <w:szCs w:val="18"/>
        </w:rPr>
        <w:t>alth and protection</w:t>
      </w:r>
      <w:r w:rsidRPr="00323818">
        <w:rPr>
          <w:rFonts w:eastAsia="Times"/>
          <w:sz w:val="18"/>
          <w:szCs w:val="18"/>
        </w:rPr>
        <w:t xml:space="preserve"> in a dangerous world.</w:t>
      </w:r>
    </w:p>
    <w:p w14:paraId="4BD2AA7A" w14:textId="77777777" w:rsidR="00D37F80" w:rsidRPr="00323818" w:rsidRDefault="00D37F80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BE2F384" w14:textId="4C3C946D" w:rsidR="00DB5AE4" w:rsidRPr="00323818" w:rsidRDefault="00407161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23818">
        <w:rPr>
          <w:rFonts w:eastAsia="Times"/>
          <w:sz w:val="18"/>
          <w:szCs w:val="18"/>
        </w:rPr>
        <w:t>The College o</w:t>
      </w:r>
      <w:r w:rsidR="00027023" w:rsidRPr="00323818">
        <w:rPr>
          <w:rFonts w:eastAsia="Times"/>
          <w:sz w:val="18"/>
          <w:szCs w:val="18"/>
        </w:rPr>
        <w:t>f Optometrists in Vision Develop</w:t>
      </w:r>
      <w:r w:rsidRPr="00323818">
        <w:rPr>
          <w:rFonts w:eastAsia="Times"/>
          <w:sz w:val="18"/>
          <w:szCs w:val="18"/>
        </w:rPr>
        <w:t>ment (</w:t>
      </w:r>
      <w:hyperlink r:id="rId8" w:history="1">
        <w:r w:rsidRPr="00323818">
          <w:rPr>
            <w:rStyle w:val="Hyperlink"/>
            <w:rFonts w:eastAsia="Times"/>
            <w:sz w:val="18"/>
            <w:szCs w:val="18"/>
          </w:rPr>
          <w:t>COVD</w:t>
        </w:r>
        <w:r w:rsidR="00027023" w:rsidRPr="00323818">
          <w:rPr>
            <w:rStyle w:val="Hyperlink"/>
            <w:rFonts w:eastAsia="Times"/>
            <w:sz w:val="18"/>
            <w:szCs w:val="18"/>
          </w:rPr>
          <w:t>.org</w:t>
        </w:r>
      </w:hyperlink>
      <w:r w:rsidRPr="00323818">
        <w:rPr>
          <w:rFonts w:eastAsia="Times"/>
          <w:sz w:val="18"/>
          <w:szCs w:val="18"/>
        </w:rPr>
        <w:t>), along with state and local governments, commemorate August as</w:t>
      </w:r>
      <w:r w:rsidR="00D37F80" w:rsidRPr="00323818">
        <w:rPr>
          <w:rFonts w:eastAsia="Times"/>
          <w:sz w:val="18"/>
          <w:szCs w:val="18"/>
        </w:rPr>
        <w:t xml:space="preserve"> Children’s Vision and Learning Month</w:t>
      </w:r>
      <w:r w:rsidRPr="00323818">
        <w:rPr>
          <w:rFonts w:eastAsia="Times"/>
          <w:sz w:val="18"/>
          <w:szCs w:val="18"/>
        </w:rPr>
        <w:t>.  The purpose of this annual campaign is to highlight the direct connection between vision and learning</w:t>
      </w:r>
      <w:r w:rsidR="006B638B" w:rsidRPr="00323818">
        <w:rPr>
          <w:rFonts w:eastAsia="Times"/>
          <w:sz w:val="18"/>
          <w:szCs w:val="18"/>
        </w:rPr>
        <w:t xml:space="preserve"> and educate</w:t>
      </w:r>
      <w:r w:rsidR="00DB4253" w:rsidRPr="00323818">
        <w:rPr>
          <w:rFonts w:eastAsia="Times"/>
          <w:sz w:val="18"/>
          <w:szCs w:val="18"/>
        </w:rPr>
        <w:t xml:space="preserve"> parents</w:t>
      </w:r>
      <w:r w:rsidR="006B638B" w:rsidRPr="00323818">
        <w:rPr>
          <w:rFonts w:eastAsia="Times"/>
          <w:sz w:val="18"/>
          <w:szCs w:val="18"/>
        </w:rPr>
        <w:t xml:space="preserve"> about the need for regular vision exams.  Exams before every school year can help detect vision problems</w:t>
      </w:r>
      <w:r w:rsidR="00DB4253" w:rsidRPr="00323818">
        <w:rPr>
          <w:rFonts w:eastAsia="Times"/>
          <w:sz w:val="18"/>
          <w:szCs w:val="18"/>
        </w:rPr>
        <w:t xml:space="preserve"> and allow for corrective measures that can greatly enhance a child’s learning experience.  “Studies show that more than 5 million children in Am</w:t>
      </w:r>
      <w:r w:rsidR="00BD2DD1" w:rsidRPr="00323818">
        <w:rPr>
          <w:rFonts w:eastAsia="Times"/>
          <w:sz w:val="18"/>
          <w:szCs w:val="18"/>
        </w:rPr>
        <w:t xml:space="preserve">erica have vision problems that can affect their ability to learn,” said Wiley X Co-Owner Myles Freeman, Jr. </w:t>
      </w:r>
      <w:r w:rsidR="00DB5AE4" w:rsidRPr="00323818">
        <w:rPr>
          <w:rFonts w:eastAsia="Times"/>
          <w:sz w:val="18"/>
          <w:szCs w:val="18"/>
        </w:rPr>
        <w:t xml:space="preserve"> “Regular testing and recognizing </w:t>
      </w:r>
      <w:r w:rsidR="008C0071" w:rsidRPr="00323818">
        <w:rPr>
          <w:rFonts w:eastAsia="Times"/>
          <w:sz w:val="18"/>
          <w:szCs w:val="18"/>
        </w:rPr>
        <w:t>the signs of vision problems help</w:t>
      </w:r>
      <w:r w:rsidR="00DB5AE4" w:rsidRPr="00323818">
        <w:rPr>
          <w:rFonts w:eastAsia="Times"/>
          <w:sz w:val="18"/>
          <w:szCs w:val="18"/>
        </w:rPr>
        <w:t xml:space="preserve"> lead to early detection — giving every child an equal opportunity to learn,” added Freeman.</w:t>
      </w:r>
    </w:p>
    <w:p w14:paraId="7CA5100D" w14:textId="77777777" w:rsidR="00DB5AE4" w:rsidRPr="00323818" w:rsidRDefault="00DB5AE4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365C1B9" w14:textId="47D73E84" w:rsidR="009A38E0" w:rsidRPr="00323818" w:rsidRDefault="00DB5AE4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23818">
        <w:rPr>
          <w:rFonts w:eastAsia="Times"/>
          <w:sz w:val="18"/>
          <w:szCs w:val="18"/>
        </w:rPr>
        <w:t xml:space="preserve">August is also Children’s Eye Health and </w:t>
      </w:r>
      <w:r w:rsidR="008C0071" w:rsidRPr="00323818">
        <w:rPr>
          <w:rFonts w:eastAsia="Times"/>
          <w:sz w:val="18"/>
          <w:szCs w:val="18"/>
        </w:rPr>
        <w:t>Safety Month, a national campaign</w:t>
      </w:r>
      <w:r w:rsidR="00323818">
        <w:rPr>
          <w:rFonts w:eastAsia="Times"/>
          <w:sz w:val="18"/>
          <w:szCs w:val="18"/>
        </w:rPr>
        <w:t xml:space="preserve"> of Prevent Blindness America.</w:t>
      </w:r>
      <w:r w:rsidR="00DF34D1" w:rsidRPr="00323818">
        <w:rPr>
          <w:rFonts w:eastAsia="Times"/>
          <w:sz w:val="18"/>
          <w:szCs w:val="18"/>
        </w:rPr>
        <w:t xml:space="preserve"> According to the organization’s website</w:t>
      </w:r>
      <w:r w:rsidR="00AF479B" w:rsidRPr="00323818">
        <w:rPr>
          <w:rFonts w:eastAsia="Times"/>
          <w:sz w:val="18"/>
          <w:szCs w:val="18"/>
        </w:rPr>
        <w:t xml:space="preserve"> (</w:t>
      </w:r>
      <w:hyperlink r:id="rId9" w:history="1">
        <w:r w:rsidR="00323818" w:rsidRPr="00323818">
          <w:rPr>
            <w:rStyle w:val="Hyperlink"/>
            <w:rFonts w:eastAsia="Times"/>
            <w:sz w:val="18"/>
            <w:szCs w:val="18"/>
          </w:rPr>
          <w:t>preventblindess.org</w:t>
        </w:r>
      </w:hyperlink>
      <w:r w:rsidR="00AF479B" w:rsidRPr="00323818">
        <w:rPr>
          <w:rFonts w:eastAsia="Times"/>
          <w:sz w:val="18"/>
          <w:szCs w:val="18"/>
        </w:rPr>
        <w:t>)</w:t>
      </w:r>
      <w:r w:rsidR="00DF34D1" w:rsidRPr="00323818">
        <w:rPr>
          <w:rFonts w:eastAsia="Times"/>
          <w:sz w:val="18"/>
          <w:szCs w:val="18"/>
        </w:rPr>
        <w:t>,</w:t>
      </w:r>
      <w:r w:rsidR="00C56611" w:rsidRPr="00323818">
        <w:rPr>
          <w:rFonts w:eastAsia="Times"/>
          <w:sz w:val="18"/>
          <w:szCs w:val="18"/>
        </w:rPr>
        <w:t xml:space="preserve"> </w:t>
      </w:r>
      <w:r w:rsidR="00DF34D1" w:rsidRPr="00323818">
        <w:rPr>
          <w:rFonts w:eastAsia="Times"/>
          <w:sz w:val="18"/>
          <w:szCs w:val="18"/>
        </w:rPr>
        <w:t xml:space="preserve">every 13 minutes an emergency room treats a sports-related eye injury. </w:t>
      </w:r>
      <w:r w:rsidR="00C95405" w:rsidRPr="00323818">
        <w:rPr>
          <w:rFonts w:eastAsia="Times"/>
          <w:sz w:val="18"/>
          <w:szCs w:val="18"/>
        </w:rPr>
        <w:t xml:space="preserve">  Even more sobering is</w:t>
      </w:r>
      <w:r w:rsidR="00EF56D9" w:rsidRPr="00323818">
        <w:rPr>
          <w:rFonts w:eastAsia="Times"/>
          <w:sz w:val="18"/>
          <w:szCs w:val="18"/>
        </w:rPr>
        <w:t xml:space="preserve"> that about 43-percent of these injuries happen to boys and girls ages 14 and younger.  The good news is that 90-percent of these injuries can be prevented, through better understanding, safety practices and the use of proper eye protection.</w:t>
      </w:r>
      <w:r w:rsidR="00E20BD7">
        <w:rPr>
          <w:rFonts w:eastAsia="Times"/>
          <w:sz w:val="18"/>
          <w:szCs w:val="18"/>
        </w:rPr>
        <w:t xml:space="preserve">  Key to making this happen is raising awareness among parents that proper eye protection is something every </w:t>
      </w:r>
      <w:r w:rsidR="004D39F0">
        <w:rPr>
          <w:rFonts w:eastAsia="Times"/>
          <w:sz w:val="18"/>
          <w:szCs w:val="18"/>
        </w:rPr>
        <w:t>child</w:t>
      </w:r>
      <w:r w:rsidR="00E20BD7">
        <w:rPr>
          <w:rFonts w:eastAsia="Times"/>
          <w:sz w:val="18"/>
          <w:szCs w:val="18"/>
        </w:rPr>
        <w:t xml:space="preserve"> needs — not just those who wear prescription glasses. </w:t>
      </w:r>
    </w:p>
    <w:p w14:paraId="51C5D1EA" w14:textId="77777777" w:rsidR="009A38E0" w:rsidRPr="00323818" w:rsidRDefault="009A38E0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D12D394" w14:textId="77777777" w:rsidR="00C629F7" w:rsidRPr="00323818" w:rsidRDefault="009A38E0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23818">
        <w:rPr>
          <w:rFonts w:eastAsia="Times"/>
          <w:sz w:val="18"/>
          <w:szCs w:val="18"/>
        </w:rPr>
        <w:t xml:space="preserve">To meet this need, Wiley </w:t>
      </w:r>
      <w:r w:rsidR="00204EE5" w:rsidRPr="00323818">
        <w:rPr>
          <w:rFonts w:eastAsia="Times"/>
          <w:sz w:val="18"/>
          <w:szCs w:val="18"/>
        </w:rPr>
        <w:t xml:space="preserve">X recently introduced </w:t>
      </w:r>
      <w:r w:rsidRPr="00323818">
        <w:rPr>
          <w:rFonts w:eastAsia="Times"/>
          <w:sz w:val="18"/>
          <w:szCs w:val="18"/>
        </w:rPr>
        <w:t xml:space="preserve">its Youth Force™ line of protective eyewear designed specifically for young athletes.  </w:t>
      </w:r>
      <w:r w:rsidR="00E67F25" w:rsidRPr="00323818">
        <w:rPr>
          <w:rFonts w:eastAsia="Times"/>
          <w:sz w:val="18"/>
          <w:szCs w:val="18"/>
        </w:rPr>
        <w:t>Each of the four Youth Force models — the WX Flash, WX Victory, WX Fierce and WX Gamer — is ASTM F803 rated for maximum vision protection while participating in sporting ac</w:t>
      </w:r>
      <w:r w:rsidR="008C0071" w:rsidRPr="00323818">
        <w:rPr>
          <w:rFonts w:eastAsia="Times"/>
          <w:sz w:val="18"/>
          <w:szCs w:val="18"/>
        </w:rPr>
        <w:t xml:space="preserve">tivities.  These styles </w:t>
      </w:r>
      <w:r w:rsidR="00E67F25" w:rsidRPr="00323818">
        <w:rPr>
          <w:rFonts w:eastAsia="Times"/>
          <w:sz w:val="18"/>
          <w:szCs w:val="18"/>
        </w:rPr>
        <w:t xml:space="preserve">are designed for specific age groups and can quickly change from spectacles to goggles with the simple push of a button.  </w:t>
      </w:r>
      <w:r w:rsidR="008C0071" w:rsidRPr="00323818">
        <w:rPr>
          <w:rFonts w:eastAsia="Times"/>
          <w:sz w:val="18"/>
          <w:szCs w:val="18"/>
        </w:rPr>
        <w:t xml:space="preserve"> Wiley X also utilizes </w:t>
      </w:r>
      <w:r w:rsidR="00204EE5" w:rsidRPr="00323818">
        <w:rPr>
          <w:rFonts w:eastAsia="Times"/>
          <w:sz w:val="18"/>
          <w:szCs w:val="18"/>
        </w:rPr>
        <w:t xml:space="preserve">bold colors and graphics for the Youth Force line, ensuring that </w:t>
      </w:r>
      <w:r w:rsidR="0009605D" w:rsidRPr="00323818">
        <w:rPr>
          <w:rFonts w:eastAsia="Times"/>
          <w:sz w:val="18"/>
          <w:szCs w:val="18"/>
        </w:rPr>
        <w:t>kids</w:t>
      </w:r>
      <w:r w:rsidR="00204EE5" w:rsidRPr="00323818">
        <w:rPr>
          <w:rFonts w:eastAsia="Times"/>
          <w:sz w:val="18"/>
          <w:szCs w:val="18"/>
        </w:rPr>
        <w:t xml:space="preserve"> will actually want to wear these glasses not only while playing and practicing their favorite sports, but all the time.</w:t>
      </w:r>
      <w:r w:rsidR="00EE3314" w:rsidRPr="00323818">
        <w:rPr>
          <w:rFonts w:eastAsia="Times"/>
          <w:sz w:val="18"/>
          <w:szCs w:val="18"/>
        </w:rPr>
        <w:t xml:space="preserve">  In addition, all Youth Force glasses are Rx-Ready using the company’s advanced DIGIFORCE™ digital lens technology</w:t>
      </w:r>
      <w:r w:rsidR="00C629F7" w:rsidRPr="00323818">
        <w:rPr>
          <w:rFonts w:eastAsia="Times"/>
          <w:sz w:val="18"/>
          <w:szCs w:val="18"/>
        </w:rPr>
        <w:t>, making them an ideal, no compromise solution for active boys and girls who wear corrective lenses.</w:t>
      </w:r>
    </w:p>
    <w:p w14:paraId="464B98E0" w14:textId="77777777" w:rsidR="00204EE5" w:rsidRPr="00323818" w:rsidRDefault="00204EE5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D34A77C" w14:textId="77777777" w:rsidR="00204EE5" w:rsidRPr="00323818" w:rsidRDefault="00DA1D86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23818">
        <w:rPr>
          <w:rFonts w:eastAsia="Times"/>
          <w:sz w:val="18"/>
          <w:szCs w:val="18"/>
        </w:rPr>
        <w:t>“The key to protecting our young athletes is getting them to wear proper eyewear</w:t>
      </w:r>
      <w:r w:rsidR="006A12FC">
        <w:rPr>
          <w:rFonts w:eastAsia="Times"/>
          <w:sz w:val="18"/>
          <w:szCs w:val="18"/>
        </w:rPr>
        <w:t xml:space="preserve"> whenever they need it, especially</w:t>
      </w:r>
      <w:r w:rsidRPr="00323818">
        <w:rPr>
          <w:rFonts w:eastAsia="Times"/>
          <w:sz w:val="18"/>
          <w:szCs w:val="18"/>
        </w:rPr>
        <w:t xml:space="preserve"> every time </w:t>
      </w:r>
      <w:r w:rsidR="00E55F95" w:rsidRPr="00323818">
        <w:rPr>
          <w:rFonts w:eastAsia="Times"/>
          <w:sz w:val="18"/>
          <w:szCs w:val="18"/>
        </w:rPr>
        <w:t xml:space="preserve">they take to the court or field,” said Freeman.  “By making </w:t>
      </w:r>
      <w:r w:rsidR="008C0071" w:rsidRPr="00323818">
        <w:rPr>
          <w:rFonts w:eastAsia="Times"/>
          <w:sz w:val="18"/>
          <w:szCs w:val="18"/>
        </w:rPr>
        <w:t xml:space="preserve">our </w:t>
      </w:r>
      <w:r w:rsidR="00E55F95" w:rsidRPr="00323818">
        <w:rPr>
          <w:rFonts w:eastAsia="Times"/>
          <w:sz w:val="18"/>
          <w:szCs w:val="18"/>
        </w:rPr>
        <w:t xml:space="preserve">Youth Force </w:t>
      </w:r>
      <w:r w:rsidR="006A12FC">
        <w:rPr>
          <w:rFonts w:eastAsia="Times"/>
          <w:sz w:val="18"/>
          <w:szCs w:val="18"/>
        </w:rPr>
        <w:t>line</w:t>
      </w:r>
      <w:r w:rsidR="006A12FC" w:rsidRPr="00323818">
        <w:rPr>
          <w:rFonts w:eastAsia="Times"/>
          <w:sz w:val="18"/>
          <w:szCs w:val="18"/>
        </w:rPr>
        <w:t xml:space="preserve"> </w:t>
      </w:r>
      <w:r w:rsidR="00E55F95" w:rsidRPr="00323818">
        <w:rPr>
          <w:rFonts w:eastAsia="Times"/>
          <w:sz w:val="18"/>
          <w:szCs w:val="18"/>
        </w:rPr>
        <w:t xml:space="preserve">comfortable, cool-looking and versatile, we hope to get </w:t>
      </w:r>
      <w:r w:rsidR="0009605D" w:rsidRPr="00323818">
        <w:rPr>
          <w:rFonts w:eastAsia="Times"/>
          <w:sz w:val="18"/>
          <w:szCs w:val="18"/>
        </w:rPr>
        <w:t>kids</w:t>
      </w:r>
      <w:r w:rsidR="00E55F95" w:rsidRPr="00323818">
        <w:rPr>
          <w:rFonts w:eastAsia="Times"/>
          <w:sz w:val="18"/>
          <w:szCs w:val="18"/>
        </w:rPr>
        <w:t xml:space="preserve"> to wear their eye protection not just during sporting activities, but anytime </w:t>
      </w:r>
      <w:r w:rsidR="006A12FC">
        <w:rPr>
          <w:rFonts w:eastAsia="Times"/>
          <w:sz w:val="18"/>
          <w:szCs w:val="18"/>
        </w:rPr>
        <w:t>they need vision correction</w:t>
      </w:r>
      <w:r w:rsidR="00E55F95" w:rsidRPr="00323818">
        <w:rPr>
          <w:rFonts w:eastAsia="Times"/>
          <w:sz w:val="18"/>
          <w:szCs w:val="18"/>
        </w:rPr>
        <w:t>,” added Freeman.</w:t>
      </w:r>
    </w:p>
    <w:p w14:paraId="480A1F48" w14:textId="77777777" w:rsidR="00EF56D9" w:rsidRPr="00323818" w:rsidRDefault="00EF56D9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75EE1D3" w14:textId="77777777" w:rsidR="000F2EB0" w:rsidRPr="00323818" w:rsidRDefault="00E86F68" w:rsidP="00414B25">
      <w:pPr>
        <w:pStyle w:val="BearPR04"/>
        <w:spacing w:line="240" w:lineRule="auto"/>
        <w:rPr>
          <w:rFonts w:eastAsia="Times"/>
          <w:b/>
          <w:sz w:val="18"/>
          <w:szCs w:val="18"/>
        </w:rPr>
      </w:pPr>
      <w:r w:rsidRPr="00323818">
        <w:rPr>
          <w:rFonts w:eastAsia="Times"/>
          <w:sz w:val="18"/>
          <w:szCs w:val="18"/>
        </w:rPr>
        <w:t xml:space="preserve">To learn more about Wiley X’s </w:t>
      </w:r>
      <w:r w:rsidR="00027023" w:rsidRPr="00323818">
        <w:rPr>
          <w:rFonts w:eastAsia="Times"/>
          <w:sz w:val="18"/>
          <w:szCs w:val="18"/>
        </w:rPr>
        <w:t xml:space="preserve">Youth Force eyewear designed specifically to protect the vision of young boys and girls </w:t>
      </w:r>
      <w:r w:rsidR="00462DB3" w:rsidRPr="00323818">
        <w:rPr>
          <w:rFonts w:eastAsia="Times"/>
          <w:sz w:val="18"/>
          <w:szCs w:val="18"/>
        </w:rPr>
        <w:t xml:space="preserve">— visit </w:t>
      </w:r>
      <w:hyperlink r:id="rId10" w:history="1">
        <w:r w:rsidR="00462DB3" w:rsidRPr="00323818">
          <w:rPr>
            <w:rStyle w:val="Hyperlink"/>
            <w:rFonts w:eastAsia="Times"/>
            <w:sz w:val="18"/>
            <w:szCs w:val="18"/>
          </w:rPr>
          <w:t>www.wileyx.com</w:t>
        </w:r>
      </w:hyperlink>
      <w:r w:rsidR="00462DB3" w:rsidRPr="00323818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="00462DB3" w:rsidRPr="00323818">
        <w:rPr>
          <w:sz w:val="18"/>
          <w:szCs w:val="18"/>
        </w:rPr>
        <w:sym w:font="Symbol" w:char="F0B7"/>
      </w:r>
      <w:r w:rsidR="00462DB3" w:rsidRPr="00323818">
        <w:rPr>
          <w:sz w:val="18"/>
          <w:szCs w:val="18"/>
        </w:rPr>
        <w:t xml:space="preserve"> Telephone: (800) 776-7842.</w:t>
      </w:r>
    </w:p>
    <w:p w14:paraId="1E0A3F3C" w14:textId="77777777" w:rsidR="00462DB3" w:rsidRPr="001B44F3" w:rsidRDefault="00462DB3" w:rsidP="00414B25">
      <w:pPr>
        <w:pStyle w:val="BearPR04"/>
        <w:spacing w:line="240" w:lineRule="auto"/>
        <w:ind w:right="-342"/>
        <w:rPr>
          <w:rFonts w:eastAsia="Times"/>
        </w:rPr>
      </w:pPr>
    </w:p>
    <w:p w14:paraId="0A28A3A3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1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541A5897" w14:textId="77777777" w:rsidR="00462DB3" w:rsidRPr="00993DD0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11C5716D" w14:textId="77777777" w:rsidR="007C26E4" w:rsidRPr="00744F59" w:rsidRDefault="00462DB3" w:rsidP="00744F59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194835A2" wp14:editId="58AA1D9E">
            <wp:extent cx="304800" cy="361950"/>
            <wp:effectExtent l="19050" t="0" r="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29936A63" wp14:editId="4DABF385">
            <wp:extent cx="314325" cy="381000"/>
            <wp:effectExtent l="0" t="0" r="0" b="0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1C7D1F52" wp14:editId="42D70372">
            <wp:extent cx="304800" cy="361950"/>
            <wp:effectExtent l="19050" t="0" r="0" b="0"/>
            <wp:docPr id="4" name="Picture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99F6DF2" wp14:editId="6B5BFBC7">
            <wp:extent cx="304800" cy="361950"/>
            <wp:effectExtent l="19050" t="0" r="0" b="0"/>
            <wp:docPr id="6" name="Picture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554C1CF7" wp14:editId="2EF796AB">
            <wp:extent cx="304800" cy="361950"/>
            <wp:effectExtent l="19050" t="0" r="0" b="0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6E4" w:rsidRPr="00744F59" w:rsidSect="00483524">
      <w:headerReference w:type="first" r:id="rId22"/>
      <w:footerReference w:type="first" r:id="rId23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B2E3" w14:textId="77777777" w:rsidR="00DA1D86" w:rsidRDefault="00DA1D86">
      <w:r>
        <w:separator/>
      </w:r>
    </w:p>
  </w:endnote>
  <w:endnote w:type="continuationSeparator" w:id="0">
    <w:p w14:paraId="1C9070AE" w14:textId="77777777" w:rsidR="00DA1D86" w:rsidRDefault="00DA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280F" w14:textId="77777777" w:rsidR="00DA1D86" w:rsidRDefault="00DA1D86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AF2C" w14:textId="77777777" w:rsidR="00DA1D86" w:rsidRDefault="00DA1D86">
      <w:r>
        <w:separator/>
      </w:r>
    </w:p>
  </w:footnote>
  <w:footnote w:type="continuationSeparator" w:id="0">
    <w:p w14:paraId="66AA28E8" w14:textId="77777777" w:rsidR="00DA1D86" w:rsidRDefault="00DA1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287F" w14:textId="77777777" w:rsidR="00DA1D86" w:rsidRPr="00B450A3" w:rsidRDefault="00DA1D86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FFABF4C" wp14:editId="4189A385">
          <wp:extent cx="6583680" cy="1486535"/>
          <wp:effectExtent l="0" t="0" r="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Maser">
    <w15:presenceInfo w15:providerId="AD" w15:userId="S-1-5-21-2932997104-4068887389-109975435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27023"/>
    <w:rsid w:val="00036F2B"/>
    <w:rsid w:val="000502FD"/>
    <w:rsid w:val="000634EA"/>
    <w:rsid w:val="0008161B"/>
    <w:rsid w:val="000867CC"/>
    <w:rsid w:val="0009605D"/>
    <w:rsid w:val="000B21DC"/>
    <w:rsid w:val="000B2249"/>
    <w:rsid w:val="000C6783"/>
    <w:rsid w:val="000F2EB0"/>
    <w:rsid w:val="00123737"/>
    <w:rsid w:val="00134329"/>
    <w:rsid w:val="00135857"/>
    <w:rsid w:val="001A10C3"/>
    <w:rsid w:val="001A19A3"/>
    <w:rsid w:val="001B1677"/>
    <w:rsid w:val="001D0036"/>
    <w:rsid w:val="001D1C57"/>
    <w:rsid w:val="0020085E"/>
    <w:rsid w:val="00200CFC"/>
    <w:rsid w:val="00204EE5"/>
    <w:rsid w:val="0021117D"/>
    <w:rsid w:val="00213573"/>
    <w:rsid w:val="0021796C"/>
    <w:rsid w:val="00233B99"/>
    <w:rsid w:val="00244915"/>
    <w:rsid w:val="002553BD"/>
    <w:rsid w:val="002B01AF"/>
    <w:rsid w:val="002B7C0F"/>
    <w:rsid w:val="00323818"/>
    <w:rsid w:val="003337BA"/>
    <w:rsid w:val="00376840"/>
    <w:rsid w:val="003B3D85"/>
    <w:rsid w:val="003B50DA"/>
    <w:rsid w:val="003B62BD"/>
    <w:rsid w:val="003C60C4"/>
    <w:rsid w:val="003D1546"/>
    <w:rsid w:val="003F1BA2"/>
    <w:rsid w:val="00407161"/>
    <w:rsid w:val="00414B25"/>
    <w:rsid w:val="0042236D"/>
    <w:rsid w:val="004412D6"/>
    <w:rsid w:val="00462DB3"/>
    <w:rsid w:val="00473F2A"/>
    <w:rsid w:val="004826B3"/>
    <w:rsid w:val="00483524"/>
    <w:rsid w:val="004C1F36"/>
    <w:rsid w:val="004D39F0"/>
    <w:rsid w:val="004D6D64"/>
    <w:rsid w:val="004E4F05"/>
    <w:rsid w:val="004F163E"/>
    <w:rsid w:val="00522901"/>
    <w:rsid w:val="00533CEB"/>
    <w:rsid w:val="00543244"/>
    <w:rsid w:val="005528FA"/>
    <w:rsid w:val="005625A8"/>
    <w:rsid w:val="00566556"/>
    <w:rsid w:val="005720F6"/>
    <w:rsid w:val="0057279E"/>
    <w:rsid w:val="00604423"/>
    <w:rsid w:val="00634032"/>
    <w:rsid w:val="006501A8"/>
    <w:rsid w:val="00655464"/>
    <w:rsid w:val="0067546D"/>
    <w:rsid w:val="0068701B"/>
    <w:rsid w:val="006A12FC"/>
    <w:rsid w:val="006B2DDA"/>
    <w:rsid w:val="006B638B"/>
    <w:rsid w:val="006F1CDD"/>
    <w:rsid w:val="00703D65"/>
    <w:rsid w:val="00712CE9"/>
    <w:rsid w:val="00724598"/>
    <w:rsid w:val="00731C64"/>
    <w:rsid w:val="00735403"/>
    <w:rsid w:val="00741CE1"/>
    <w:rsid w:val="00744F59"/>
    <w:rsid w:val="00775D09"/>
    <w:rsid w:val="00785DC7"/>
    <w:rsid w:val="00786796"/>
    <w:rsid w:val="007C26E4"/>
    <w:rsid w:val="007E01D7"/>
    <w:rsid w:val="0082636C"/>
    <w:rsid w:val="0083066A"/>
    <w:rsid w:val="00842269"/>
    <w:rsid w:val="00884DB9"/>
    <w:rsid w:val="008A38B1"/>
    <w:rsid w:val="008C0071"/>
    <w:rsid w:val="008F2BD6"/>
    <w:rsid w:val="00926E9D"/>
    <w:rsid w:val="009A38E0"/>
    <w:rsid w:val="00A13168"/>
    <w:rsid w:val="00A46BD1"/>
    <w:rsid w:val="00A47F88"/>
    <w:rsid w:val="00A5555C"/>
    <w:rsid w:val="00AD0E63"/>
    <w:rsid w:val="00AE74D3"/>
    <w:rsid w:val="00AF0595"/>
    <w:rsid w:val="00AF1E83"/>
    <w:rsid w:val="00AF479B"/>
    <w:rsid w:val="00B03AFC"/>
    <w:rsid w:val="00B04250"/>
    <w:rsid w:val="00B2437B"/>
    <w:rsid w:val="00B50A43"/>
    <w:rsid w:val="00B61D41"/>
    <w:rsid w:val="00BA0ADD"/>
    <w:rsid w:val="00BD2DD1"/>
    <w:rsid w:val="00C44009"/>
    <w:rsid w:val="00C4499B"/>
    <w:rsid w:val="00C467B4"/>
    <w:rsid w:val="00C56611"/>
    <w:rsid w:val="00C629F7"/>
    <w:rsid w:val="00C857B7"/>
    <w:rsid w:val="00C95405"/>
    <w:rsid w:val="00CB10A7"/>
    <w:rsid w:val="00CB1D10"/>
    <w:rsid w:val="00CD6F7D"/>
    <w:rsid w:val="00D24DB1"/>
    <w:rsid w:val="00D37F80"/>
    <w:rsid w:val="00D46EEF"/>
    <w:rsid w:val="00D87712"/>
    <w:rsid w:val="00DA1D86"/>
    <w:rsid w:val="00DB4253"/>
    <w:rsid w:val="00DB5AE4"/>
    <w:rsid w:val="00DD18D4"/>
    <w:rsid w:val="00DF150B"/>
    <w:rsid w:val="00DF34D1"/>
    <w:rsid w:val="00E20BD7"/>
    <w:rsid w:val="00E3292B"/>
    <w:rsid w:val="00E4632B"/>
    <w:rsid w:val="00E55F95"/>
    <w:rsid w:val="00E67F25"/>
    <w:rsid w:val="00E74CB6"/>
    <w:rsid w:val="00E86F68"/>
    <w:rsid w:val="00EB5C77"/>
    <w:rsid w:val="00EE3314"/>
    <w:rsid w:val="00EF42D7"/>
    <w:rsid w:val="00EF56D9"/>
    <w:rsid w:val="00F00651"/>
    <w:rsid w:val="00F06732"/>
    <w:rsid w:val="00F74EAF"/>
    <w:rsid w:val="00F814D5"/>
    <w:rsid w:val="00F95BF0"/>
    <w:rsid w:val="00FA6E2E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46C6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reventblindess.org" TargetMode="External"/><Relationship Id="rId20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21" Type="http://schemas.openxmlformats.org/officeDocument/2006/relationships/image" Target="media/image5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7" Type="http://schemas.microsoft.com/office/2011/relationships/people" Target="people.xml"/><Relationship Id="rId10" Type="http://schemas.openxmlformats.org/officeDocument/2006/relationships/hyperlink" Target="http://www.wileyx.com" TargetMode="External"/><Relationship Id="rId11" Type="http://schemas.openxmlformats.org/officeDocument/2006/relationships/hyperlink" Target="http://www.full-throttlecommunications.com" TargetMode="External"/><Relationship Id="rId12" Type="http://schemas.openxmlformats.org/officeDocument/2006/relationships/hyperlink" Target="https://www.facebook.com/wileyx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s://www.instagram.com/wileyx/" TargetMode="External"/><Relationship Id="rId15" Type="http://schemas.openxmlformats.org/officeDocument/2006/relationships/image" Target="media/image2.jpeg"/><Relationship Id="rId16" Type="http://schemas.openxmlformats.org/officeDocument/2006/relationships/hyperlink" Target="https://mobile.twitter.com/wileyx" TargetMode="External"/><Relationship Id="rId17" Type="http://schemas.openxmlformats.org/officeDocument/2006/relationships/image" Target="media/image3.jpeg"/><Relationship Id="rId18" Type="http://schemas.openxmlformats.org/officeDocument/2006/relationships/hyperlink" Target="https://www.youtube.com/user/wileyxeyewear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vd.org/page/august_V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4006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2016-08-18T16:50:00Z</cp:lastPrinted>
  <dcterms:created xsi:type="dcterms:W3CDTF">2016-08-18T18:03:00Z</dcterms:created>
  <dcterms:modified xsi:type="dcterms:W3CDTF">2016-08-18T18:03:00Z</dcterms:modified>
</cp:coreProperties>
</file>